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271BC" w14:textId="77777777" w:rsidR="00976601" w:rsidRPr="00976601" w:rsidRDefault="00976601" w:rsidP="00976601">
      <w:pPr>
        <w:spacing w:line="360" w:lineRule="auto"/>
        <w:ind w:firstLine="1134"/>
        <w:jc w:val="right"/>
        <w:rPr>
          <w:rFonts w:ascii="Arial" w:hAnsi="Arial" w:cs="Arial"/>
          <w:sz w:val="24"/>
          <w:szCs w:val="24"/>
        </w:rPr>
      </w:pPr>
      <w:r w:rsidRPr="00976601">
        <w:rPr>
          <w:rFonts w:ascii="Arial" w:hAnsi="Arial" w:cs="Arial"/>
          <w:sz w:val="24"/>
          <w:szCs w:val="24"/>
        </w:rPr>
        <w:t xml:space="preserve">Chascomús, 20 de </w:t>
      </w:r>
      <w:proofErr w:type="gramStart"/>
      <w:r w:rsidRPr="00976601">
        <w:rPr>
          <w:rFonts w:ascii="Arial" w:hAnsi="Arial" w:cs="Arial"/>
          <w:sz w:val="24"/>
          <w:szCs w:val="24"/>
        </w:rPr>
        <w:t>Octubre</w:t>
      </w:r>
      <w:proofErr w:type="gramEnd"/>
      <w:r w:rsidRPr="00976601">
        <w:rPr>
          <w:rFonts w:ascii="Arial" w:hAnsi="Arial" w:cs="Arial"/>
          <w:sz w:val="24"/>
          <w:szCs w:val="24"/>
        </w:rPr>
        <w:t xml:space="preserve"> de 2025.</w:t>
      </w:r>
    </w:p>
    <w:p w14:paraId="40B205A6" w14:textId="77777777" w:rsidR="00976601" w:rsidRPr="00976601" w:rsidRDefault="00976601" w:rsidP="00976601">
      <w:pPr>
        <w:spacing w:line="360" w:lineRule="auto"/>
        <w:rPr>
          <w:rFonts w:ascii="Arial" w:hAnsi="Arial" w:cs="Arial"/>
          <w:sz w:val="24"/>
          <w:szCs w:val="24"/>
        </w:rPr>
      </w:pPr>
      <w:r w:rsidRPr="00976601">
        <w:rPr>
          <w:rFonts w:ascii="Arial" w:hAnsi="Arial" w:cs="Arial"/>
          <w:sz w:val="24"/>
          <w:szCs w:val="24"/>
        </w:rPr>
        <w:t xml:space="preserve">Sr. </w:t>
      </w:r>
      <w:proofErr w:type="gramStart"/>
      <w:r w:rsidRPr="00976601">
        <w:rPr>
          <w:rFonts w:ascii="Arial" w:hAnsi="Arial" w:cs="Arial"/>
          <w:sz w:val="24"/>
          <w:szCs w:val="24"/>
        </w:rPr>
        <w:t>Presidente</w:t>
      </w:r>
      <w:proofErr w:type="gramEnd"/>
      <w:r w:rsidRPr="00976601">
        <w:rPr>
          <w:rFonts w:ascii="Arial" w:hAnsi="Arial" w:cs="Arial"/>
          <w:sz w:val="24"/>
          <w:szCs w:val="24"/>
        </w:rPr>
        <w:t xml:space="preserve"> del</w:t>
      </w:r>
    </w:p>
    <w:p w14:paraId="088F8EAB" w14:textId="77777777" w:rsidR="00976601" w:rsidRPr="00976601" w:rsidRDefault="00976601" w:rsidP="00976601">
      <w:pPr>
        <w:spacing w:line="360" w:lineRule="auto"/>
        <w:rPr>
          <w:rFonts w:ascii="Arial" w:hAnsi="Arial" w:cs="Arial"/>
          <w:sz w:val="24"/>
          <w:szCs w:val="24"/>
        </w:rPr>
      </w:pPr>
      <w:r w:rsidRPr="00976601">
        <w:rPr>
          <w:rFonts w:ascii="Arial" w:hAnsi="Arial" w:cs="Arial"/>
          <w:sz w:val="24"/>
          <w:szCs w:val="24"/>
        </w:rPr>
        <w:t>Honorable Concejo Deliberante</w:t>
      </w:r>
    </w:p>
    <w:p w14:paraId="0660F60A" w14:textId="77777777" w:rsidR="00976601" w:rsidRPr="00976601" w:rsidRDefault="00976601" w:rsidP="00976601">
      <w:pPr>
        <w:spacing w:line="360" w:lineRule="auto"/>
        <w:rPr>
          <w:rFonts w:ascii="Arial" w:hAnsi="Arial" w:cs="Arial"/>
          <w:bCs/>
          <w:sz w:val="24"/>
          <w:szCs w:val="24"/>
        </w:rPr>
      </w:pPr>
      <w:r w:rsidRPr="00976601">
        <w:rPr>
          <w:rFonts w:ascii="Arial" w:hAnsi="Arial" w:cs="Arial"/>
          <w:bCs/>
          <w:sz w:val="24"/>
          <w:szCs w:val="24"/>
        </w:rPr>
        <w:t xml:space="preserve">Sr. Andrés </w:t>
      </w:r>
      <w:proofErr w:type="spellStart"/>
      <w:r w:rsidRPr="00976601">
        <w:rPr>
          <w:rFonts w:ascii="Arial" w:hAnsi="Arial" w:cs="Arial"/>
          <w:bCs/>
          <w:sz w:val="24"/>
          <w:szCs w:val="24"/>
        </w:rPr>
        <w:t>Sanucci</w:t>
      </w:r>
      <w:proofErr w:type="spellEnd"/>
    </w:p>
    <w:p w14:paraId="50CB8EC9" w14:textId="77777777" w:rsidR="00976601" w:rsidRPr="00976601" w:rsidRDefault="00976601" w:rsidP="00976601">
      <w:pPr>
        <w:spacing w:line="360" w:lineRule="auto"/>
        <w:jc w:val="both"/>
        <w:rPr>
          <w:rFonts w:ascii="Arial" w:hAnsi="Arial" w:cs="Arial"/>
          <w:sz w:val="24"/>
          <w:szCs w:val="24"/>
        </w:rPr>
      </w:pPr>
      <w:r w:rsidRPr="00976601">
        <w:rPr>
          <w:rFonts w:ascii="Arial" w:hAnsi="Arial" w:cs="Arial"/>
          <w:sz w:val="24"/>
          <w:szCs w:val="24"/>
        </w:rPr>
        <w:t>De nuestra consideración:</w:t>
      </w:r>
    </w:p>
    <w:p w14:paraId="2C3194DB" w14:textId="77777777" w:rsidR="00976601" w:rsidRPr="00976601" w:rsidRDefault="00976601" w:rsidP="00976601">
      <w:pPr>
        <w:spacing w:line="360" w:lineRule="auto"/>
        <w:ind w:firstLine="1134"/>
        <w:jc w:val="both"/>
        <w:rPr>
          <w:rFonts w:ascii="Arial" w:hAnsi="Arial" w:cs="Arial"/>
          <w:sz w:val="24"/>
          <w:szCs w:val="24"/>
        </w:rPr>
      </w:pPr>
      <w:r w:rsidRPr="00976601">
        <w:rPr>
          <w:rFonts w:ascii="Arial" w:hAnsi="Arial" w:cs="Arial"/>
          <w:sz w:val="24"/>
          <w:szCs w:val="24"/>
        </w:rPr>
        <w:t xml:space="preserve">                   Remitimos copia del presente proyecto para ser incluida en el orden del día de la próxima sesión.</w:t>
      </w:r>
    </w:p>
    <w:p w14:paraId="1044AB4F" w14:textId="193B395D" w:rsidR="00976601" w:rsidRDefault="00A82892" w:rsidP="00021721">
      <w:pPr>
        <w:pStyle w:val="ds-markdown-paragraph"/>
        <w:shd w:val="clear" w:color="auto" w:fill="FFFFFF"/>
        <w:spacing w:before="240" w:beforeAutospacing="0" w:after="240" w:afterAutospacing="0"/>
        <w:jc w:val="both"/>
        <w:rPr>
          <w:rStyle w:val="Textoennegrita"/>
          <w:rFonts w:ascii="Arial" w:eastAsiaTheme="majorEastAsia" w:hAnsi="Arial" w:cs="Arial"/>
          <w:color w:val="0F1115"/>
        </w:rPr>
      </w:pPr>
      <w:r>
        <w:rPr>
          <w:rStyle w:val="Textoennegrita"/>
          <w:rFonts w:ascii="Arial" w:eastAsiaTheme="majorEastAsia" w:hAnsi="Arial" w:cs="Arial"/>
          <w:color w:val="0F1115"/>
        </w:rPr>
        <w:t xml:space="preserve">SOLICITASE LA REVISION INTEGRAL Y/O DEROGACION DEL DECRETO 762/2025 QUE </w:t>
      </w:r>
      <w:r w:rsidR="00021721">
        <w:rPr>
          <w:rStyle w:val="Textoennegrita"/>
          <w:rFonts w:ascii="Arial" w:eastAsiaTheme="majorEastAsia" w:hAnsi="Arial" w:cs="Arial"/>
          <w:color w:val="0F1115"/>
        </w:rPr>
        <w:t>EXIGE LA FACTIBILIDAD DE CONEXIÓN A LOS SERVICIOS SANITARIOS PREVIO A LA CONSTRUCCION DE VIVIENDAS</w:t>
      </w:r>
    </w:p>
    <w:p w14:paraId="66AC4874" w14:textId="356CAFFF" w:rsidR="00976601" w:rsidRPr="00976601" w:rsidRDefault="00976601" w:rsidP="00976601">
      <w:pPr>
        <w:pStyle w:val="ds-markdown-paragraph"/>
        <w:shd w:val="clear" w:color="auto" w:fill="FFFFFF"/>
        <w:spacing w:before="240" w:beforeAutospacing="0" w:after="240" w:afterAutospacing="0"/>
        <w:jc w:val="both"/>
        <w:rPr>
          <w:rFonts w:ascii="Arial" w:hAnsi="Arial" w:cs="Arial"/>
          <w:color w:val="0F1115"/>
        </w:rPr>
      </w:pPr>
      <w:r w:rsidRPr="00976601">
        <w:rPr>
          <w:rStyle w:val="Textoennegrita"/>
          <w:rFonts w:ascii="Arial" w:eastAsiaTheme="majorEastAsia" w:hAnsi="Arial" w:cs="Arial"/>
          <w:color w:val="0F1115"/>
        </w:rPr>
        <w:t>VISTO:</w:t>
      </w:r>
    </w:p>
    <w:p w14:paraId="7A647BA8" w14:textId="2B6961FF" w:rsidR="00976601" w:rsidRPr="00F31D14" w:rsidRDefault="00976601" w:rsidP="00976601">
      <w:pPr>
        <w:pStyle w:val="ds-markdown-paragraph"/>
        <w:shd w:val="clear" w:color="auto" w:fill="FFFFFF"/>
        <w:spacing w:before="240" w:beforeAutospacing="0" w:after="240" w:afterAutospacing="0"/>
        <w:ind w:firstLine="851"/>
        <w:jc w:val="both"/>
        <w:rPr>
          <w:rFonts w:ascii="Arial" w:hAnsi="Arial" w:cs="Arial"/>
          <w:color w:val="0F1115"/>
        </w:rPr>
      </w:pPr>
      <w:r w:rsidRPr="00F31D14">
        <w:rPr>
          <w:rFonts w:ascii="Arial" w:hAnsi="Arial" w:cs="Arial"/>
          <w:color w:val="0F1115"/>
        </w:rPr>
        <w:t xml:space="preserve">El Decreto </w:t>
      </w:r>
      <w:proofErr w:type="spellStart"/>
      <w:r w:rsidRPr="00F31D14">
        <w:rPr>
          <w:rFonts w:ascii="Arial" w:hAnsi="Arial" w:cs="Arial"/>
          <w:color w:val="0F1115"/>
        </w:rPr>
        <w:t>N°</w:t>
      </w:r>
      <w:proofErr w:type="spellEnd"/>
      <w:r w:rsidRPr="00F31D14">
        <w:rPr>
          <w:rFonts w:ascii="Arial" w:hAnsi="Arial" w:cs="Arial"/>
          <w:color w:val="0F1115"/>
        </w:rPr>
        <w:t xml:space="preserve"> 762/2025 que establece </w:t>
      </w:r>
      <w:r w:rsidR="00B44968">
        <w:rPr>
          <w:rFonts w:ascii="Arial" w:hAnsi="Arial" w:cs="Arial"/>
          <w:color w:val="0F1115"/>
        </w:rPr>
        <w:t>la</w:t>
      </w:r>
      <w:r w:rsidRPr="00F31D14">
        <w:rPr>
          <w:rFonts w:ascii="Arial" w:hAnsi="Arial" w:cs="Arial"/>
          <w:color w:val="0F1115"/>
        </w:rPr>
        <w:t xml:space="preserve"> factibilidad de conexión a los servicios sanitarios; y</w:t>
      </w:r>
    </w:p>
    <w:p w14:paraId="7BE8D3FD" w14:textId="77777777" w:rsidR="00976601" w:rsidRPr="00976601" w:rsidRDefault="00976601" w:rsidP="00976601">
      <w:pPr>
        <w:pStyle w:val="ds-markdown-paragraph"/>
        <w:shd w:val="clear" w:color="auto" w:fill="FFFFFF"/>
        <w:spacing w:before="240" w:beforeAutospacing="0" w:after="240" w:afterAutospacing="0"/>
        <w:jc w:val="both"/>
        <w:rPr>
          <w:rFonts w:ascii="Arial" w:hAnsi="Arial" w:cs="Arial"/>
          <w:color w:val="0F1115"/>
        </w:rPr>
      </w:pPr>
      <w:r w:rsidRPr="00976601">
        <w:rPr>
          <w:rStyle w:val="Textoennegrita"/>
          <w:rFonts w:ascii="Arial" w:eastAsiaTheme="majorEastAsia" w:hAnsi="Arial" w:cs="Arial"/>
          <w:color w:val="0F1115"/>
        </w:rPr>
        <w:t>CONSIDERANDO:</w:t>
      </w:r>
    </w:p>
    <w:p w14:paraId="2E1989C5" w14:textId="4A997044" w:rsidR="00976601" w:rsidRPr="00F31D14" w:rsidRDefault="00976601" w:rsidP="00976601">
      <w:pPr>
        <w:pStyle w:val="ds-markdown-paragraph"/>
        <w:shd w:val="clear" w:color="auto" w:fill="FFFFFF"/>
        <w:spacing w:before="240" w:beforeAutospacing="0" w:after="240" w:afterAutospacing="0"/>
        <w:ind w:firstLine="851"/>
        <w:jc w:val="both"/>
        <w:rPr>
          <w:rFonts w:ascii="Arial" w:hAnsi="Arial" w:cs="Arial"/>
          <w:color w:val="0F1115"/>
        </w:rPr>
      </w:pPr>
      <w:r w:rsidRPr="00F31D14">
        <w:rPr>
          <w:rStyle w:val="Textoennegrita"/>
          <w:rFonts w:ascii="Arial" w:eastAsiaTheme="majorEastAsia" w:hAnsi="Arial" w:cs="Arial"/>
          <w:b w:val="0"/>
          <w:bCs w:val="0"/>
          <w:color w:val="0F1115"/>
        </w:rPr>
        <w:t>Que</w:t>
      </w:r>
      <w:r>
        <w:rPr>
          <w:rStyle w:val="Textoennegrita"/>
          <w:rFonts w:ascii="Arial" w:eastAsiaTheme="majorEastAsia" w:hAnsi="Arial" w:cs="Arial"/>
          <w:b w:val="0"/>
          <w:bCs w:val="0"/>
          <w:color w:val="0F1115"/>
        </w:rPr>
        <w:t>,</w:t>
      </w:r>
      <w:r w:rsidRPr="00F31D14">
        <w:rPr>
          <w:rFonts w:ascii="Arial" w:hAnsi="Arial" w:cs="Arial"/>
          <w:color w:val="0F1115"/>
        </w:rPr>
        <w:t xml:space="preserve"> el control de las conexiones a los servicios sanitarios constituye una herramienta indispensable para garantizar la capacidad operativa de las redes de agua potable y desagües cloacales, evitando la sobrecarga del sistema y </w:t>
      </w:r>
      <w:r w:rsidR="00B44968" w:rsidRPr="00F31D14">
        <w:rPr>
          <w:rFonts w:ascii="Arial" w:hAnsi="Arial" w:cs="Arial"/>
          <w:color w:val="0F1115"/>
        </w:rPr>
        <w:t>protegiendo</w:t>
      </w:r>
      <w:r w:rsidRPr="00F31D14">
        <w:rPr>
          <w:rFonts w:ascii="Arial" w:hAnsi="Arial" w:cs="Arial"/>
          <w:color w:val="0F1115"/>
        </w:rPr>
        <w:t xml:space="preserve"> la infraestructura pública.</w:t>
      </w:r>
    </w:p>
    <w:p w14:paraId="24C723F5" w14:textId="4176833F" w:rsidR="00976601" w:rsidRDefault="00976601" w:rsidP="00976601">
      <w:pPr>
        <w:pStyle w:val="ds-markdown-paragraph"/>
        <w:shd w:val="clear" w:color="auto" w:fill="FFFFFF"/>
        <w:spacing w:before="240" w:beforeAutospacing="0" w:after="240" w:afterAutospacing="0"/>
        <w:ind w:firstLine="851"/>
        <w:jc w:val="both"/>
        <w:rPr>
          <w:rFonts w:ascii="Arial" w:hAnsi="Arial" w:cs="Arial"/>
          <w:color w:val="0F1115"/>
        </w:rPr>
      </w:pPr>
      <w:r w:rsidRPr="00F31D14">
        <w:rPr>
          <w:rStyle w:val="Textoennegrita"/>
          <w:rFonts w:ascii="Arial" w:eastAsiaTheme="majorEastAsia" w:hAnsi="Arial" w:cs="Arial"/>
          <w:b w:val="0"/>
          <w:bCs w:val="0"/>
          <w:color w:val="0F1115"/>
        </w:rPr>
        <w:t>Que,</w:t>
      </w:r>
      <w:r w:rsidRPr="00F31D14">
        <w:rPr>
          <w:rFonts w:ascii="Arial" w:hAnsi="Arial" w:cs="Arial"/>
          <w:color w:val="0F1115"/>
        </w:rPr>
        <w:t> sin embargo, del análisis técnico y jurídico del articulado del Decreto 762/2025 surgen inconsistencias de redacción, ambigüedades conceptuales y omisiones procedimentales que, de no mediar corrección, dificultarán gravemente su aplicación práctica y generarán conflictos de interpretación entre las dependencias municipales</w:t>
      </w:r>
      <w:r w:rsidR="00B44968">
        <w:rPr>
          <w:rFonts w:ascii="Arial" w:hAnsi="Arial" w:cs="Arial"/>
          <w:color w:val="0F1115"/>
        </w:rPr>
        <w:t>, profesionales y particulares</w:t>
      </w:r>
      <w:r w:rsidRPr="00F31D14">
        <w:rPr>
          <w:rFonts w:ascii="Arial" w:hAnsi="Arial" w:cs="Arial"/>
          <w:color w:val="0F1115"/>
        </w:rPr>
        <w:t xml:space="preserve"> intervinientes</w:t>
      </w:r>
      <w:r w:rsidR="00B44968">
        <w:rPr>
          <w:rFonts w:ascii="Arial" w:hAnsi="Arial" w:cs="Arial"/>
          <w:color w:val="0F1115"/>
        </w:rPr>
        <w:t xml:space="preserve">, pudiendo lugar a planteos </w:t>
      </w:r>
      <w:r w:rsidR="004C0C9B">
        <w:rPr>
          <w:rFonts w:ascii="Arial" w:hAnsi="Arial" w:cs="Arial"/>
          <w:color w:val="0F1115"/>
        </w:rPr>
        <w:t>técnicos y judiciales</w:t>
      </w:r>
      <w:r w:rsidR="00D069F5">
        <w:rPr>
          <w:rFonts w:ascii="Arial" w:hAnsi="Arial" w:cs="Arial"/>
          <w:color w:val="0F1115"/>
        </w:rPr>
        <w:t xml:space="preserve"> desfavorables al municipio.</w:t>
      </w:r>
    </w:p>
    <w:p w14:paraId="7363CA1C" w14:textId="65137A67" w:rsidR="00423B45" w:rsidRDefault="00423B45" w:rsidP="00976601">
      <w:pPr>
        <w:pStyle w:val="ds-markdown-paragraph"/>
        <w:shd w:val="clear" w:color="auto" w:fill="FFFFFF"/>
        <w:spacing w:before="240" w:beforeAutospacing="0" w:after="240" w:afterAutospacing="0"/>
        <w:ind w:firstLine="851"/>
        <w:jc w:val="both"/>
        <w:rPr>
          <w:rFonts w:ascii="Arial" w:hAnsi="Arial" w:cs="Arial"/>
          <w:color w:val="0F1115"/>
        </w:rPr>
      </w:pPr>
      <w:r>
        <w:rPr>
          <w:rFonts w:ascii="Arial" w:hAnsi="Arial" w:cs="Arial"/>
          <w:color w:val="0F1115"/>
        </w:rPr>
        <w:t xml:space="preserve">Que, el Decreto ley 8912/77 expresa la necesidad de estudios de factibilidad en </w:t>
      </w:r>
      <w:proofErr w:type="gramStart"/>
      <w:r w:rsidRPr="00423B45">
        <w:rPr>
          <w:rFonts w:ascii="Arial" w:hAnsi="Arial" w:cs="Arial"/>
          <w:i/>
          <w:iCs/>
          <w:color w:val="0F1115"/>
        </w:rPr>
        <w:t xml:space="preserve">“ </w:t>
      </w:r>
      <w:r w:rsidRPr="00423B45">
        <w:rPr>
          <w:rFonts w:ascii="Arial" w:hAnsi="Arial" w:cs="Arial"/>
          <w:i/>
          <w:iCs/>
          <w:color w:val="0F1115"/>
        </w:rPr>
        <w:t>Creación</w:t>
      </w:r>
      <w:proofErr w:type="gramEnd"/>
      <w:r w:rsidRPr="00423B45">
        <w:rPr>
          <w:rFonts w:ascii="Arial" w:hAnsi="Arial" w:cs="Arial"/>
          <w:i/>
          <w:iCs/>
          <w:color w:val="0F1115"/>
        </w:rPr>
        <w:t xml:space="preserve"> y ampliación de núcleos urbanos o centros de </w:t>
      </w:r>
      <w:r w:rsidRPr="00423B45">
        <w:rPr>
          <w:rFonts w:ascii="Arial" w:hAnsi="Arial" w:cs="Arial"/>
          <w:i/>
          <w:iCs/>
          <w:color w:val="0F1115"/>
        </w:rPr>
        <w:lastRenderedPageBreak/>
        <w:t>población</w:t>
      </w:r>
      <w:r>
        <w:rPr>
          <w:rFonts w:ascii="Arial" w:hAnsi="Arial" w:cs="Arial"/>
          <w:color w:val="0F1115"/>
        </w:rPr>
        <w:t xml:space="preserve">”, no indicando la necesidad </w:t>
      </w:r>
      <w:proofErr w:type="gramStart"/>
      <w:r>
        <w:rPr>
          <w:rFonts w:ascii="Arial" w:hAnsi="Arial" w:cs="Arial"/>
          <w:color w:val="0F1115"/>
        </w:rPr>
        <w:t>de</w:t>
      </w:r>
      <w:r w:rsidR="00D069F5">
        <w:rPr>
          <w:rFonts w:ascii="Arial" w:hAnsi="Arial" w:cs="Arial"/>
          <w:color w:val="0F1115"/>
        </w:rPr>
        <w:t>l mismo</w:t>
      </w:r>
      <w:proofErr w:type="gramEnd"/>
      <w:r w:rsidR="00D069F5">
        <w:rPr>
          <w:rFonts w:ascii="Arial" w:hAnsi="Arial" w:cs="Arial"/>
          <w:color w:val="0F1115"/>
        </w:rPr>
        <w:t xml:space="preserve"> </w:t>
      </w:r>
      <w:r>
        <w:rPr>
          <w:rFonts w:ascii="Arial" w:hAnsi="Arial" w:cs="Arial"/>
          <w:color w:val="0F1115"/>
        </w:rPr>
        <w:t>en aquellos lugares donde los servicios ya se encuentran disponibles.</w:t>
      </w:r>
    </w:p>
    <w:p w14:paraId="4D0FD541" w14:textId="59A8867A" w:rsidR="00D069F5" w:rsidRPr="00D069F5" w:rsidRDefault="00D069F5" w:rsidP="00976601">
      <w:pPr>
        <w:pStyle w:val="ds-markdown-paragraph"/>
        <w:shd w:val="clear" w:color="auto" w:fill="FFFFFF"/>
        <w:spacing w:before="240" w:beforeAutospacing="0" w:after="240" w:afterAutospacing="0"/>
        <w:ind w:firstLine="851"/>
        <w:jc w:val="both"/>
        <w:rPr>
          <w:rFonts w:ascii="Arial" w:hAnsi="Arial" w:cs="Arial"/>
          <w:i/>
          <w:iCs/>
          <w:color w:val="0F1115"/>
        </w:rPr>
      </w:pPr>
      <w:r w:rsidRPr="00D069F5">
        <w:rPr>
          <w:rFonts w:ascii="Arial" w:hAnsi="Arial" w:cs="Arial"/>
          <w:i/>
          <w:iCs/>
          <w:color w:val="0F1115"/>
        </w:rPr>
        <w:t xml:space="preserve"> </w:t>
      </w:r>
      <w:r>
        <w:rPr>
          <w:rFonts w:ascii="Arial" w:hAnsi="Arial" w:cs="Arial"/>
          <w:i/>
          <w:iCs/>
          <w:color w:val="0F1115"/>
        </w:rPr>
        <w:t>“</w:t>
      </w:r>
      <w:r w:rsidRPr="00D069F5">
        <w:rPr>
          <w:rFonts w:ascii="Arial" w:hAnsi="Arial" w:cs="Arial"/>
          <w:i/>
          <w:iCs/>
          <w:color w:val="0F1115"/>
        </w:rPr>
        <w:t xml:space="preserve">Decreto Ley 8912/77 </w:t>
      </w:r>
      <w:r w:rsidRPr="00D069F5">
        <w:rPr>
          <w:rFonts w:ascii="Arial" w:hAnsi="Arial" w:cs="Arial"/>
          <w:i/>
          <w:iCs/>
          <w:color w:val="0F1115"/>
        </w:rPr>
        <w:t>CAPÍTULO IV DEL PROCESO DE OCUPACION DEL TERRITORIO</w:t>
      </w:r>
      <w:r w:rsidRPr="00D069F5">
        <w:rPr>
          <w:rFonts w:ascii="Arial" w:hAnsi="Arial" w:cs="Arial"/>
          <w:i/>
          <w:iCs/>
          <w:color w:val="0F1115"/>
        </w:rPr>
        <w:t xml:space="preserve"> </w:t>
      </w:r>
      <w:r w:rsidRPr="00D069F5">
        <w:rPr>
          <w:rFonts w:ascii="Arial" w:hAnsi="Arial" w:cs="Arial"/>
          <w:i/>
          <w:iCs/>
          <w:color w:val="0F1115"/>
        </w:rPr>
        <w:t>A) Creación y ampliación de núcleos urbanos o centros de población</w:t>
      </w:r>
      <w:r w:rsidRPr="00D069F5">
        <w:rPr>
          <w:rFonts w:ascii="Arial" w:hAnsi="Arial" w:cs="Arial"/>
          <w:i/>
          <w:iCs/>
          <w:color w:val="0F1115"/>
        </w:rPr>
        <w:t>……</w:t>
      </w:r>
      <w:r w:rsidRPr="00D069F5">
        <w:rPr>
          <w:rFonts w:asciiTheme="minorHAnsi" w:eastAsiaTheme="minorHAnsi" w:hAnsiTheme="minorHAnsi" w:cstheme="minorBidi"/>
          <w:i/>
          <w:iCs/>
          <w:kern w:val="2"/>
          <w:sz w:val="22"/>
          <w:szCs w:val="22"/>
          <w:lang w:eastAsia="en-US"/>
          <w14:ligatures w14:val="standardContextual"/>
        </w:rPr>
        <w:t xml:space="preserve"> </w:t>
      </w:r>
      <w:r w:rsidRPr="00D069F5">
        <w:rPr>
          <w:rFonts w:ascii="Arial" w:hAnsi="Arial" w:cs="Arial"/>
          <w:i/>
          <w:iCs/>
          <w:color w:val="0F1115"/>
        </w:rPr>
        <w:t xml:space="preserve">ARTÍCULO 15.- Toda creación de un núcleo urbano deberá responder a una necesidad debidamente fundada, ser aprobada por el Poder Ejecutivo, a propuesta del municipio respectivo, por iniciativa de entidades estatales o de promotores privados, y fundamentarse mediante un estudio que, además de tomar en cuenta las orientaciones y previsiones del respectivo plan regional, contenga como mínimo: </w:t>
      </w:r>
    </w:p>
    <w:p w14:paraId="6CAF4C34" w14:textId="61B840E1" w:rsidR="00D069F5" w:rsidRDefault="00D069F5" w:rsidP="00976601">
      <w:pPr>
        <w:pStyle w:val="ds-markdown-paragraph"/>
        <w:shd w:val="clear" w:color="auto" w:fill="FFFFFF"/>
        <w:spacing w:before="240" w:beforeAutospacing="0" w:after="240" w:afterAutospacing="0"/>
        <w:ind w:firstLine="851"/>
        <w:jc w:val="both"/>
        <w:rPr>
          <w:rFonts w:ascii="Arial" w:hAnsi="Arial" w:cs="Arial"/>
          <w:i/>
          <w:iCs/>
          <w:color w:val="0F1115"/>
        </w:rPr>
      </w:pPr>
      <w:r w:rsidRPr="00D069F5">
        <w:rPr>
          <w:rFonts w:ascii="Arial" w:hAnsi="Arial" w:cs="Arial"/>
          <w:i/>
          <w:iCs/>
          <w:color w:val="0F1115"/>
        </w:rPr>
        <w:t>….</w:t>
      </w:r>
      <w:r w:rsidRPr="00D069F5">
        <w:rPr>
          <w:rFonts w:ascii="Arial" w:hAnsi="Arial" w:cs="Arial"/>
          <w:i/>
          <w:iCs/>
          <w:color w:val="0F1115"/>
        </w:rPr>
        <w:t xml:space="preserve">. e) Comprobación de la factibilidad real de dotar al nuevo núcleo urbano de los servicios esenciales para su normal funcionamiento. </w:t>
      </w:r>
      <w:r>
        <w:rPr>
          <w:rFonts w:ascii="Arial" w:hAnsi="Arial" w:cs="Arial"/>
          <w:i/>
          <w:iCs/>
          <w:color w:val="0F1115"/>
        </w:rPr>
        <w:t>“</w:t>
      </w:r>
    </w:p>
    <w:p w14:paraId="5F7C7D41" w14:textId="675DF407" w:rsidR="00D069F5" w:rsidRDefault="00D069F5" w:rsidP="00976601">
      <w:pPr>
        <w:pStyle w:val="ds-markdown-paragraph"/>
        <w:shd w:val="clear" w:color="auto" w:fill="FFFFFF"/>
        <w:spacing w:before="240" w:beforeAutospacing="0" w:after="240" w:afterAutospacing="0"/>
        <w:ind w:firstLine="851"/>
        <w:jc w:val="both"/>
        <w:rPr>
          <w:rFonts w:ascii="Arial" w:hAnsi="Arial" w:cs="Arial"/>
          <w:i/>
          <w:iCs/>
          <w:color w:val="0F1115"/>
        </w:rPr>
      </w:pPr>
      <w:r>
        <w:rPr>
          <w:rFonts w:ascii="Arial" w:hAnsi="Arial" w:cs="Arial"/>
          <w:i/>
          <w:iCs/>
          <w:color w:val="0F1115"/>
        </w:rPr>
        <w:t>…..”</w:t>
      </w:r>
      <w:r w:rsidRPr="00D069F5">
        <w:rPr>
          <w:rFonts w:asciiTheme="minorHAnsi" w:eastAsiaTheme="minorHAnsi" w:hAnsiTheme="minorHAnsi" w:cstheme="minorBidi"/>
          <w:kern w:val="2"/>
          <w:sz w:val="22"/>
          <w:szCs w:val="22"/>
          <w:lang w:eastAsia="en-US"/>
          <w14:ligatures w14:val="standardContextual"/>
        </w:rPr>
        <w:t xml:space="preserve"> </w:t>
      </w:r>
      <w:r w:rsidRPr="00D069F5">
        <w:rPr>
          <w:rFonts w:ascii="Arial" w:hAnsi="Arial" w:cs="Arial"/>
          <w:i/>
          <w:iCs/>
          <w:color w:val="0F1115"/>
        </w:rPr>
        <w:t>ARTÍCULO 17.- La ampliación de un área urbana deberá responder a una fundada necesidad, ser aprobada por el Poder Ejecutivo a propuesta del municipio respectivo y justificarse mediante un estudio que, sin apartarse de las previsiones y orientaciones del correspondiente plan de ordenamiento, cumplimente los siguientes recaudos:</w:t>
      </w:r>
    </w:p>
    <w:p w14:paraId="4B546CB0" w14:textId="7BD15117" w:rsidR="00D069F5" w:rsidRPr="00D069F5" w:rsidRDefault="00D069F5" w:rsidP="00976601">
      <w:pPr>
        <w:pStyle w:val="ds-markdown-paragraph"/>
        <w:shd w:val="clear" w:color="auto" w:fill="FFFFFF"/>
        <w:spacing w:before="240" w:beforeAutospacing="0" w:after="240" w:afterAutospacing="0"/>
        <w:ind w:firstLine="851"/>
        <w:jc w:val="both"/>
        <w:rPr>
          <w:rFonts w:ascii="Arial" w:hAnsi="Arial" w:cs="Arial"/>
          <w:i/>
          <w:iCs/>
          <w:color w:val="0F1115"/>
        </w:rPr>
      </w:pPr>
      <w:r>
        <w:rPr>
          <w:rFonts w:ascii="Arial" w:hAnsi="Arial" w:cs="Arial"/>
          <w:i/>
          <w:iCs/>
          <w:color w:val="0F1115"/>
        </w:rPr>
        <w:t>…..</w:t>
      </w:r>
      <w:r w:rsidRPr="00D069F5">
        <w:rPr>
          <w:rFonts w:asciiTheme="minorHAnsi" w:eastAsiaTheme="minorHAnsi" w:hAnsiTheme="minorHAnsi" w:cstheme="minorBidi"/>
          <w:kern w:val="2"/>
          <w:sz w:val="22"/>
          <w:szCs w:val="22"/>
          <w:lang w:eastAsia="en-US"/>
          <w14:ligatures w14:val="standardContextual"/>
        </w:rPr>
        <w:t xml:space="preserve"> </w:t>
      </w:r>
      <w:r w:rsidRPr="00D069F5">
        <w:rPr>
          <w:rFonts w:ascii="Arial" w:hAnsi="Arial" w:cs="Arial"/>
          <w:i/>
          <w:iCs/>
          <w:color w:val="0F1115"/>
        </w:rPr>
        <w:t>f) Demostración de la factibilidad real de dotar al área elegida de los servicios esenciales y equipamiento comunitario que establece esta Ley</w:t>
      </w:r>
      <w:r>
        <w:rPr>
          <w:rFonts w:ascii="Arial" w:hAnsi="Arial" w:cs="Arial"/>
          <w:i/>
          <w:iCs/>
          <w:color w:val="0F1115"/>
        </w:rPr>
        <w:t>”</w:t>
      </w:r>
      <w:r w:rsidRPr="00D069F5">
        <w:rPr>
          <w:rFonts w:ascii="Arial" w:hAnsi="Arial" w:cs="Arial"/>
          <w:i/>
          <w:iCs/>
          <w:color w:val="0F1115"/>
        </w:rPr>
        <w:t>.</w:t>
      </w:r>
    </w:p>
    <w:p w14:paraId="06BB3C3C" w14:textId="0239E173" w:rsidR="00976601" w:rsidRPr="00F31D14" w:rsidRDefault="00976601" w:rsidP="00976601">
      <w:pPr>
        <w:pStyle w:val="ds-markdown-paragraph"/>
        <w:shd w:val="clear" w:color="auto" w:fill="FFFFFF"/>
        <w:spacing w:before="240" w:beforeAutospacing="0" w:after="240" w:afterAutospacing="0"/>
        <w:ind w:firstLine="851"/>
        <w:jc w:val="both"/>
        <w:rPr>
          <w:rFonts w:ascii="Arial" w:hAnsi="Arial" w:cs="Arial"/>
          <w:color w:val="0F1115"/>
        </w:rPr>
      </w:pPr>
      <w:r w:rsidRPr="00F31D14">
        <w:rPr>
          <w:rStyle w:val="Textoennegrita"/>
          <w:rFonts w:ascii="Arial" w:eastAsiaTheme="majorEastAsia" w:hAnsi="Arial" w:cs="Arial"/>
          <w:b w:val="0"/>
          <w:bCs w:val="0"/>
          <w:color w:val="0F1115"/>
        </w:rPr>
        <w:t>Que</w:t>
      </w:r>
      <w:r>
        <w:rPr>
          <w:rStyle w:val="Textoennegrita"/>
          <w:rFonts w:ascii="Arial" w:eastAsiaTheme="majorEastAsia" w:hAnsi="Arial" w:cs="Arial"/>
          <w:b w:val="0"/>
          <w:bCs w:val="0"/>
          <w:color w:val="0F1115"/>
        </w:rPr>
        <w:t>,</w:t>
      </w:r>
      <w:r w:rsidR="00D069F5">
        <w:rPr>
          <w:rStyle w:val="Textoennegrita"/>
          <w:rFonts w:ascii="Arial" w:eastAsiaTheme="majorEastAsia" w:hAnsi="Arial" w:cs="Arial"/>
          <w:b w:val="0"/>
          <w:bCs w:val="0"/>
          <w:color w:val="0F1115"/>
        </w:rPr>
        <w:t xml:space="preserve"> </w:t>
      </w:r>
      <w:proofErr w:type="gramStart"/>
      <w:r w:rsidR="00D069F5">
        <w:rPr>
          <w:rStyle w:val="Textoennegrita"/>
          <w:rFonts w:ascii="Arial" w:eastAsiaTheme="majorEastAsia" w:hAnsi="Arial" w:cs="Arial"/>
          <w:b w:val="0"/>
          <w:bCs w:val="0"/>
          <w:color w:val="0F1115"/>
        </w:rPr>
        <w:t xml:space="preserve">además </w:t>
      </w:r>
      <w:r w:rsidRPr="00F31D14">
        <w:rPr>
          <w:rFonts w:ascii="Arial" w:hAnsi="Arial" w:cs="Arial"/>
          <w:color w:val="0F1115"/>
        </w:rPr>
        <w:t> en</w:t>
      </w:r>
      <w:proofErr w:type="gramEnd"/>
      <w:r w:rsidRPr="00F31D14">
        <w:rPr>
          <w:rFonts w:ascii="Arial" w:hAnsi="Arial" w:cs="Arial"/>
          <w:color w:val="0F1115"/>
        </w:rPr>
        <w:t xml:space="preserve"> el </w:t>
      </w:r>
      <w:r w:rsidRPr="00F31D14">
        <w:rPr>
          <w:rStyle w:val="Textoennegrita"/>
          <w:rFonts w:ascii="Arial" w:eastAsiaTheme="majorEastAsia" w:hAnsi="Arial" w:cs="Arial"/>
          <w:b w:val="0"/>
          <w:bCs w:val="0"/>
          <w:color w:val="0F1115"/>
        </w:rPr>
        <w:t>Artículo 1º</w:t>
      </w:r>
      <w:r w:rsidR="00D069F5">
        <w:rPr>
          <w:rStyle w:val="Textoennegrita"/>
          <w:rFonts w:ascii="Arial" w:eastAsiaTheme="majorEastAsia" w:hAnsi="Arial" w:cs="Arial"/>
          <w:b w:val="0"/>
          <w:bCs w:val="0"/>
          <w:color w:val="0F1115"/>
        </w:rPr>
        <w:t xml:space="preserve"> del Decreto 762/2025</w:t>
      </w:r>
      <w:r w:rsidRPr="00F31D14">
        <w:rPr>
          <w:rFonts w:ascii="Arial" w:hAnsi="Arial" w:cs="Arial"/>
          <w:color w:val="0F1115"/>
        </w:rPr>
        <w:t>, la fórmula "servicios sanitarios y/o ampliación de vuelco" resulta técnicamente incorrecta y ambigua. El término "vuelco" refiere específicamente al vertido de efluentes, no a un servicio en sí mismo, por lo que se sugiere su sustitución por "servicios sanitarios (agua y/o desagües cloacales, incluyendo ampliaciones de vuelco)" para mantener precisión terminológica.</w:t>
      </w:r>
    </w:p>
    <w:p w14:paraId="58026F2F" w14:textId="6F702B48" w:rsidR="00976601" w:rsidRPr="00F31D14" w:rsidRDefault="00976601" w:rsidP="00976601">
      <w:pPr>
        <w:pStyle w:val="ds-markdown-paragraph"/>
        <w:shd w:val="clear" w:color="auto" w:fill="FFFFFF"/>
        <w:spacing w:before="240" w:beforeAutospacing="0" w:after="240" w:afterAutospacing="0"/>
        <w:ind w:firstLine="851"/>
        <w:jc w:val="both"/>
        <w:rPr>
          <w:rFonts w:ascii="Arial" w:hAnsi="Arial" w:cs="Arial"/>
          <w:color w:val="0F1115"/>
        </w:rPr>
      </w:pPr>
      <w:r w:rsidRPr="00F31D14">
        <w:rPr>
          <w:rStyle w:val="Textoennegrita"/>
          <w:rFonts w:ascii="Arial" w:eastAsiaTheme="majorEastAsia" w:hAnsi="Arial" w:cs="Arial"/>
          <w:b w:val="0"/>
          <w:bCs w:val="0"/>
          <w:color w:val="0F1115"/>
        </w:rPr>
        <w:t>Qué</w:t>
      </w:r>
      <w:r>
        <w:rPr>
          <w:rStyle w:val="Textoennegrita"/>
          <w:rFonts w:ascii="Arial" w:eastAsiaTheme="majorEastAsia" w:hAnsi="Arial" w:cs="Arial"/>
          <w:b w:val="0"/>
          <w:bCs w:val="0"/>
          <w:color w:val="0F1115"/>
        </w:rPr>
        <w:t>,</w:t>
      </w:r>
      <w:r w:rsidRPr="00F31D14">
        <w:rPr>
          <w:rFonts w:ascii="Arial" w:hAnsi="Arial" w:cs="Arial"/>
          <w:color w:val="0F1115"/>
        </w:rPr>
        <w:t> asimismo, el texto no identifica expresamente al sujeto obligado a tramitar la factibilidad (propietario, proyectista o responsable técnico), lo que generará incertidumbre administrativa al momento de exigir su cumplimiento.</w:t>
      </w:r>
    </w:p>
    <w:p w14:paraId="1FC9D364" w14:textId="73E435AC" w:rsidR="00976601" w:rsidRPr="00F31D14" w:rsidRDefault="00976601" w:rsidP="00976601">
      <w:pPr>
        <w:pStyle w:val="ds-markdown-paragraph"/>
        <w:shd w:val="clear" w:color="auto" w:fill="FFFFFF"/>
        <w:spacing w:before="240" w:beforeAutospacing="0" w:after="240" w:afterAutospacing="0"/>
        <w:ind w:firstLine="851"/>
        <w:jc w:val="both"/>
        <w:rPr>
          <w:rFonts w:ascii="Arial" w:hAnsi="Arial" w:cs="Arial"/>
          <w:color w:val="0F1115"/>
        </w:rPr>
      </w:pPr>
      <w:r w:rsidRPr="00F31D14">
        <w:rPr>
          <w:rStyle w:val="Textoennegrita"/>
          <w:rFonts w:ascii="Arial" w:eastAsiaTheme="majorEastAsia" w:hAnsi="Arial" w:cs="Arial"/>
          <w:b w:val="0"/>
          <w:bCs w:val="0"/>
          <w:color w:val="0F1115"/>
        </w:rPr>
        <w:t>Que</w:t>
      </w:r>
      <w:r>
        <w:rPr>
          <w:rStyle w:val="Textoennegrita"/>
          <w:rFonts w:ascii="Arial" w:eastAsiaTheme="majorEastAsia" w:hAnsi="Arial" w:cs="Arial"/>
          <w:b w:val="0"/>
          <w:bCs w:val="0"/>
          <w:color w:val="0F1115"/>
        </w:rPr>
        <w:t>,</w:t>
      </w:r>
      <w:r w:rsidRPr="00F31D14">
        <w:rPr>
          <w:rFonts w:ascii="Arial" w:hAnsi="Arial" w:cs="Arial"/>
          <w:color w:val="0F1115"/>
        </w:rPr>
        <w:t> el término "empadronamientos", de uso común en la práctica municipal, carece de definición jurídica precisa en el cuerpo del decreto, lo que abre la puerta a interpretaciones contradictorias y exige su inmediata conceptualización.</w:t>
      </w:r>
    </w:p>
    <w:p w14:paraId="5A6A9E4A" w14:textId="4FBC12A1" w:rsidR="00976601" w:rsidRDefault="00976601" w:rsidP="00976601">
      <w:pPr>
        <w:pStyle w:val="ds-markdown-paragraph"/>
        <w:shd w:val="clear" w:color="auto" w:fill="FFFFFF"/>
        <w:spacing w:before="240" w:beforeAutospacing="0" w:after="240" w:afterAutospacing="0"/>
        <w:ind w:firstLine="851"/>
        <w:jc w:val="both"/>
        <w:rPr>
          <w:rFonts w:ascii="Arial" w:hAnsi="Arial" w:cs="Arial"/>
          <w:color w:val="0F1115"/>
        </w:rPr>
      </w:pPr>
      <w:r w:rsidRPr="00F31D14">
        <w:rPr>
          <w:rStyle w:val="Textoennegrita"/>
          <w:rFonts w:ascii="Arial" w:eastAsiaTheme="majorEastAsia" w:hAnsi="Arial" w:cs="Arial"/>
          <w:b w:val="0"/>
          <w:bCs w:val="0"/>
          <w:color w:val="0F1115"/>
        </w:rPr>
        <w:t>Que</w:t>
      </w:r>
      <w:r>
        <w:rPr>
          <w:rStyle w:val="Textoennegrita"/>
          <w:rFonts w:ascii="Arial" w:eastAsiaTheme="majorEastAsia" w:hAnsi="Arial" w:cs="Arial"/>
          <w:b w:val="0"/>
          <w:bCs w:val="0"/>
          <w:color w:val="0F1115"/>
        </w:rPr>
        <w:t>,</w:t>
      </w:r>
      <w:r w:rsidRPr="00F31D14">
        <w:rPr>
          <w:rFonts w:ascii="Arial" w:hAnsi="Arial" w:cs="Arial"/>
          <w:color w:val="0F1115"/>
        </w:rPr>
        <w:t xml:space="preserve"> resulta una omisión </w:t>
      </w:r>
      <w:proofErr w:type="gramStart"/>
      <w:r w:rsidR="00FF3A54">
        <w:rPr>
          <w:rFonts w:ascii="Arial" w:hAnsi="Arial" w:cs="Arial"/>
          <w:color w:val="0F1115"/>
        </w:rPr>
        <w:t xml:space="preserve">arbitraria </w:t>
      </w:r>
      <w:r w:rsidRPr="00F31D14">
        <w:rPr>
          <w:rFonts w:ascii="Arial" w:hAnsi="Arial" w:cs="Arial"/>
          <w:color w:val="0F1115"/>
        </w:rPr>
        <w:t xml:space="preserve"> que</w:t>
      </w:r>
      <w:proofErr w:type="gramEnd"/>
      <w:r w:rsidRPr="00F31D14">
        <w:rPr>
          <w:rFonts w:ascii="Arial" w:hAnsi="Arial" w:cs="Arial"/>
          <w:color w:val="0F1115"/>
        </w:rPr>
        <w:t xml:space="preserve"> no se establezca el nivel de detalle técnico mínimo que debe contener el informe de factibilidad, dejando fuera parámetros esenciales como presión dinámica mínima, caudal disponible en red, diámetro del ramal de conexión, caudal de vuelco permitido y capacidad remanente de la planta de tratamiento.</w:t>
      </w:r>
    </w:p>
    <w:p w14:paraId="368BA4DD" w14:textId="703E7D74" w:rsidR="00D85358" w:rsidRPr="00F31D14" w:rsidRDefault="00D85358" w:rsidP="00976601">
      <w:pPr>
        <w:pStyle w:val="ds-markdown-paragraph"/>
        <w:shd w:val="clear" w:color="auto" w:fill="FFFFFF"/>
        <w:spacing w:before="240" w:beforeAutospacing="0" w:after="240" w:afterAutospacing="0"/>
        <w:ind w:firstLine="851"/>
        <w:jc w:val="both"/>
        <w:rPr>
          <w:rFonts w:ascii="Arial" w:hAnsi="Arial" w:cs="Arial"/>
          <w:color w:val="0F1115"/>
        </w:rPr>
      </w:pPr>
      <w:r>
        <w:rPr>
          <w:rFonts w:ascii="Arial" w:hAnsi="Arial" w:cs="Arial"/>
          <w:color w:val="0F1115"/>
        </w:rPr>
        <w:t xml:space="preserve">Que, la ausencia de conceptos jurídicos y técnicos en la </w:t>
      </w:r>
      <w:proofErr w:type="gramStart"/>
      <w:r>
        <w:rPr>
          <w:rFonts w:ascii="Arial" w:hAnsi="Arial" w:cs="Arial"/>
          <w:color w:val="0F1115"/>
        </w:rPr>
        <w:t>norma,</w:t>
      </w:r>
      <w:proofErr w:type="gramEnd"/>
      <w:r>
        <w:rPr>
          <w:rFonts w:ascii="Arial" w:hAnsi="Arial" w:cs="Arial"/>
          <w:color w:val="0F1115"/>
        </w:rPr>
        <w:t xml:space="preserve"> puede llevar a interpretaciones arbitrarias, pudiendo llegarse a instancias administrativas y/o judiciales.</w:t>
      </w:r>
    </w:p>
    <w:p w14:paraId="47475752" w14:textId="2D390CB4" w:rsidR="00976601" w:rsidRPr="00F31D14" w:rsidRDefault="00976601" w:rsidP="00976601">
      <w:pPr>
        <w:pStyle w:val="ds-markdown-paragraph"/>
        <w:shd w:val="clear" w:color="auto" w:fill="FFFFFF"/>
        <w:spacing w:before="240" w:beforeAutospacing="0" w:after="240" w:afterAutospacing="0"/>
        <w:ind w:firstLine="851"/>
        <w:jc w:val="both"/>
        <w:rPr>
          <w:rFonts w:ascii="Arial" w:hAnsi="Arial" w:cs="Arial"/>
          <w:color w:val="0F1115"/>
        </w:rPr>
      </w:pPr>
      <w:r w:rsidRPr="00F31D14">
        <w:rPr>
          <w:rStyle w:val="Textoennegrita"/>
          <w:rFonts w:ascii="Arial" w:eastAsiaTheme="majorEastAsia" w:hAnsi="Arial" w:cs="Arial"/>
          <w:b w:val="0"/>
          <w:bCs w:val="0"/>
          <w:color w:val="0F1115"/>
        </w:rPr>
        <w:t>Que</w:t>
      </w:r>
      <w:r>
        <w:rPr>
          <w:rStyle w:val="Textoennegrita"/>
          <w:rFonts w:ascii="Arial" w:eastAsiaTheme="majorEastAsia" w:hAnsi="Arial" w:cs="Arial"/>
          <w:b w:val="0"/>
          <w:bCs w:val="0"/>
          <w:color w:val="0F1115"/>
        </w:rPr>
        <w:t>,</w:t>
      </w:r>
      <w:r w:rsidRPr="00F31D14">
        <w:rPr>
          <w:rFonts w:ascii="Arial" w:hAnsi="Arial" w:cs="Arial"/>
          <w:color w:val="0F1115"/>
        </w:rPr>
        <w:t> en la misma línea, no se fija un plazo de vigencia para el informe, siendo éste un elemento indispensable dada la naturaleza dinámica de las condiciones hidráulicas y la capacidad de los sistemas, que pueden variar sustancialmente con el tiempo y las nuevas conexiones.</w:t>
      </w:r>
    </w:p>
    <w:p w14:paraId="16EDC7D9" w14:textId="73DFAE09" w:rsidR="00976601" w:rsidRPr="00F31D14" w:rsidRDefault="00976601" w:rsidP="00976601">
      <w:pPr>
        <w:pStyle w:val="ds-markdown-paragraph"/>
        <w:shd w:val="clear" w:color="auto" w:fill="FFFFFF"/>
        <w:spacing w:before="240" w:beforeAutospacing="0" w:after="240" w:afterAutospacing="0"/>
        <w:ind w:firstLine="851"/>
        <w:jc w:val="both"/>
        <w:rPr>
          <w:rFonts w:ascii="Arial" w:hAnsi="Arial" w:cs="Arial"/>
          <w:color w:val="0F1115"/>
        </w:rPr>
      </w:pPr>
      <w:r w:rsidRPr="00F31D14">
        <w:rPr>
          <w:rStyle w:val="Textoennegrita"/>
          <w:rFonts w:ascii="Arial" w:eastAsiaTheme="majorEastAsia" w:hAnsi="Arial" w:cs="Arial"/>
          <w:b w:val="0"/>
          <w:bCs w:val="0"/>
          <w:color w:val="0F1115"/>
        </w:rPr>
        <w:t>Que</w:t>
      </w:r>
      <w:r>
        <w:rPr>
          <w:rStyle w:val="Textoennegrita"/>
          <w:rFonts w:ascii="Arial" w:eastAsiaTheme="majorEastAsia" w:hAnsi="Arial" w:cs="Arial"/>
          <w:b w:val="0"/>
          <w:bCs w:val="0"/>
          <w:color w:val="0F1115"/>
        </w:rPr>
        <w:t>,</w:t>
      </w:r>
      <w:r w:rsidRPr="00F31D14">
        <w:rPr>
          <w:rFonts w:ascii="Arial" w:hAnsi="Arial" w:cs="Arial"/>
          <w:color w:val="0F1115"/>
        </w:rPr>
        <w:t> en el </w:t>
      </w:r>
      <w:r w:rsidRPr="00F31D14">
        <w:rPr>
          <w:rStyle w:val="Textoennegrita"/>
          <w:rFonts w:ascii="Arial" w:eastAsiaTheme="majorEastAsia" w:hAnsi="Arial" w:cs="Arial"/>
          <w:b w:val="0"/>
          <w:bCs w:val="0"/>
          <w:color w:val="0F1115"/>
        </w:rPr>
        <w:t>Artículo 3º</w:t>
      </w:r>
      <w:r w:rsidRPr="00F31D14">
        <w:rPr>
          <w:rFonts w:ascii="Arial" w:hAnsi="Arial" w:cs="Arial"/>
          <w:color w:val="0F1115"/>
        </w:rPr>
        <w:t>, la limitación de la factibilidad "a un máximo equivalente a una vivienda unifamiliar" es inoperante y carece de base técnica</w:t>
      </w:r>
      <w:r w:rsidR="00FF3A54">
        <w:rPr>
          <w:rFonts w:ascii="Arial" w:hAnsi="Arial" w:cs="Arial"/>
          <w:color w:val="0F1115"/>
        </w:rPr>
        <w:t xml:space="preserve"> y legal. </w:t>
      </w:r>
      <w:r w:rsidRPr="00F31D14">
        <w:rPr>
          <w:rFonts w:ascii="Arial" w:hAnsi="Arial" w:cs="Arial"/>
          <w:color w:val="0F1115"/>
        </w:rPr>
        <w:t>En ingeniería sanitaria, la capacidad se mide en caudal de diseño (m³/día), habitantes equivalentes (HE) o carga orgánica (kg DBO/día), no pudiendo establecerse límites con parámetros edilicios sin un correlato técnico preciso.</w:t>
      </w:r>
    </w:p>
    <w:p w14:paraId="3B188841" w14:textId="7440EAB7" w:rsidR="00976601" w:rsidRPr="00F31D14" w:rsidRDefault="00976601" w:rsidP="00976601">
      <w:pPr>
        <w:pStyle w:val="ds-markdown-paragraph"/>
        <w:shd w:val="clear" w:color="auto" w:fill="FFFFFF"/>
        <w:spacing w:before="240" w:beforeAutospacing="0" w:after="240" w:afterAutospacing="0"/>
        <w:ind w:firstLine="851"/>
        <w:jc w:val="both"/>
        <w:rPr>
          <w:rFonts w:ascii="Arial" w:hAnsi="Arial" w:cs="Arial"/>
          <w:color w:val="0F1115"/>
        </w:rPr>
      </w:pPr>
      <w:r w:rsidRPr="00F31D14">
        <w:rPr>
          <w:rStyle w:val="Textoennegrita"/>
          <w:rFonts w:ascii="Arial" w:eastAsiaTheme="majorEastAsia" w:hAnsi="Arial" w:cs="Arial"/>
          <w:b w:val="0"/>
          <w:bCs w:val="0"/>
          <w:color w:val="0F1115"/>
        </w:rPr>
        <w:t>Que</w:t>
      </w:r>
      <w:r>
        <w:rPr>
          <w:rStyle w:val="Textoennegrita"/>
          <w:rFonts w:ascii="Arial" w:eastAsiaTheme="majorEastAsia" w:hAnsi="Arial" w:cs="Arial"/>
          <w:b w:val="0"/>
          <w:bCs w:val="0"/>
          <w:color w:val="0F1115"/>
        </w:rPr>
        <w:t>,</w:t>
      </w:r>
      <w:r w:rsidRPr="00F31D14">
        <w:rPr>
          <w:rFonts w:ascii="Arial" w:hAnsi="Arial" w:cs="Arial"/>
          <w:color w:val="0F1115"/>
        </w:rPr>
        <w:t> la redacción actual omite establecer el procedimiento concreto de justificación técnica, al disponer que "cualquier requerimiento superior deberá justificar su impacto", sin indicar ante qué autoridad, en qué plazo y bajo qué parámetros objetivos debe realizarse dicha justificación, lo que deja en un vacío procedimental a los proyectos que superen el límite genérico.</w:t>
      </w:r>
    </w:p>
    <w:p w14:paraId="372FF6D6" w14:textId="7979738D" w:rsidR="00976601" w:rsidRPr="00F31D14" w:rsidRDefault="00976601" w:rsidP="00976601">
      <w:pPr>
        <w:pStyle w:val="ds-markdown-paragraph"/>
        <w:shd w:val="clear" w:color="auto" w:fill="FFFFFF"/>
        <w:spacing w:before="240" w:beforeAutospacing="0" w:after="240" w:afterAutospacing="0"/>
        <w:ind w:firstLine="851"/>
        <w:jc w:val="both"/>
        <w:rPr>
          <w:rFonts w:ascii="Arial" w:hAnsi="Arial" w:cs="Arial"/>
          <w:color w:val="0F1115"/>
        </w:rPr>
      </w:pPr>
      <w:r w:rsidRPr="00F31D14">
        <w:rPr>
          <w:rStyle w:val="Textoennegrita"/>
          <w:rFonts w:ascii="Arial" w:eastAsiaTheme="majorEastAsia" w:hAnsi="Arial" w:cs="Arial"/>
          <w:b w:val="0"/>
          <w:bCs w:val="0"/>
          <w:color w:val="0F1115"/>
        </w:rPr>
        <w:t>Que</w:t>
      </w:r>
      <w:r>
        <w:rPr>
          <w:rStyle w:val="Textoennegrita"/>
          <w:rFonts w:ascii="Arial" w:eastAsiaTheme="majorEastAsia" w:hAnsi="Arial" w:cs="Arial"/>
          <w:b w:val="0"/>
          <w:bCs w:val="0"/>
          <w:color w:val="0F1115"/>
        </w:rPr>
        <w:t>,</w:t>
      </w:r>
      <w:r w:rsidRPr="00F31D14">
        <w:rPr>
          <w:rFonts w:ascii="Arial" w:hAnsi="Arial" w:cs="Arial"/>
          <w:color w:val="0F1115"/>
        </w:rPr>
        <w:t> la expresión "equivalente a una vivienda unifamiliar", por su vaguedad, generará inevitablemente conflictos interpretativos en obras comerciales, industriales o multifamiliares, donde las demandas son naturalmente superiores y requieren una evaluación específica y cuantificada.</w:t>
      </w:r>
    </w:p>
    <w:p w14:paraId="461D45AF" w14:textId="4352E461" w:rsidR="00976601" w:rsidRPr="00F31D14" w:rsidRDefault="00976601" w:rsidP="00976601">
      <w:pPr>
        <w:pStyle w:val="ds-markdown-paragraph"/>
        <w:shd w:val="clear" w:color="auto" w:fill="FFFFFF"/>
        <w:spacing w:before="240" w:beforeAutospacing="0" w:after="240" w:afterAutospacing="0"/>
        <w:ind w:firstLine="851"/>
        <w:jc w:val="both"/>
        <w:rPr>
          <w:rFonts w:ascii="Arial" w:hAnsi="Arial" w:cs="Arial"/>
          <w:color w:val="0F1115"/>
        </w:rPr>
      </w:pPr>
      <w:r w:rsidRPr="00F31D14">
        <w:rPr>
          <w:rStyle w:val="Textoennegrita"/>
          <w:rFonts w:ascii="Arial" w:eastAsiaTheme="majorEastAsia" w:hAnsi="Arial" w:cs="Arial"/>
          <w:b w:val="0"/>
          <w:bCs w:val="0"/>
          <w:color w:val="0F1115"/>
        </w:rPr>
        <w:t>Que</w:t>
      </w:r>
      <w:r>
        <w:rPr>
          <w:rStyle w:val="Textoennegrita"/>
          <w:rFonts w:ascii="Arial" w:eastAsiaTheme="majorEastAsia" w:hAnsi="Arial" w:cs="Arial"/>
          <w:b w:val="0"/>
          <w:bCs w:val="0"/>
          <w:color w:val="0F1115"/>
        </w:rPr>
        <w:t>,</w:t>
      </w:r>
      <w:r w:rsidRPr="00F31D14">
        <w:rPr>
          <w:rFonts w:ascii="Arial" w:hAnsi="Arial" w:cs="Arial"/>
          <w:color w:val="0F1115"/>
        </w:rPr>
        <w:t> de la lectura integral del decreto se advierte la ausencia de un mecanismo de inspección final que verifique el cumplimiento de las condiciones establecidas en la factibilidad otorgada, así como la falta de un régimen sancionatorio expreso por su incumplimiento, lo que socava la eficacia misma de la norma.</w:t>
      </w:r>
    </w:p>
    <w:p w14:paraId="6C073186" w14:textId="5E103654" w:rsidR="00976601" w:rsidRPr="00F31D14" w:rsidRDefault="00976601" w:rsidP="00976601">
      <w:pPr>
        <w:pStyle w:val="ds-markdown-paragraph"/>
        <w:shd w:val="clear" w:color="auto" w:fill="FFFFFF"/>
        <w:spacing w:before="240" w:beforeAutospacing="0" w:after="240" w:afterAutospacing="0"/>
        <w:ind w:firstLine="851"/>
        <w:jc w:val="both"/>
        <w:rPr>
          <w:rFonts w:ascii="Arial" w:hAnsi="Arial" w:cs="Arial"/>
          <w:color w:val="0F1115"/>
        </w:rPr>
      </w:pPr>
      <w:r w:rsidRPr="00F31D14">
        <w:rPr>
          <w:rStyle w:val="Textoennegrita"/>
          <w:rFonts w:ascii="Arial" w:eastAsiaTheme="majorEastAsia" w:hAnsi="Arial" w:cs="Arial"/>
          <w:b w:val="0"/>
          <w:bCs w:val="0"/>
          <w:color w:val="0F1115"/>
        </w:rPr>
        <w:t>Que</w:t>
      </w:r>
      <w:r>
        <w:rPr>
          <w:rStyle w:val="Textoennegrita"/>
          <w:rFonts w:ascii="Arial" w:eastAsiaTheme="majorEastAsia" w:hAnsi="Arial" w:cs="Arial"/>
          <w:b w:val="0"/>
          <w:bCs w:val="0"/>
          <w:color w:val="0F1115"/>
        </w:rPr>
        <w:t>,</w:t>
      </w:r>
      <w:r w:rsidRPr="00F31D14">
        <w:rPr>
          <w:rFonts w:ascii="Arial" w:hAnsi="Arial" w:cs="Arial"/>
          <w:color w:val="0F1115"/>
        </w:rPr>
        <w:t> en virtud de las numerosas inconsistencias de terminología, competencia, procedimiento y técnica normativa detectadas, se considera imperioso proceder a una revisión integral del decreto, a fin de dotar al Instituto de la Factibilidad de Conexión de la seguridad jurídica, precisión técnica y eficacia administrativa que requiere su implementación.</w:t>
      </w:r>
    </w:p>
    <w:p w14:paraId="6B03D18C" w14:textId="59EDEC93" w:rsidR="00976601" w:rsidRDefault="00976601" w:rsidP="00976601">
      <w:pPr>
        <w:pStyle w:val="ds-markdown-paragraph"/>
        <w:shd w:val="clear" w:color="auto" w:fill="FFFFFF"/>
        <w:spacing w:before="240" w:beforeAutospacing="0" w:after="240" w:afterAutospacing="0"/>
        <w:ind w:firstLine="851"/>
        <w:jc w:val="both"/>
        <w:rPr>
          <w:rFonts w:ascii="Arial" w:hAnsi="Arial" w:cs="Arial"/>
          <w:color w:val="0F1115"/>
        </w:rPr>
      </w:pPr>
      <w:r w:rsidRPr="00F31D14">
        <w:rPr>
          <w:rStyle w:val="Textoennegrita"/>
          <w:rFonts w:ascii="Arial" w:eastAsiaTheme="majorEastAsia" w:hAnsi="Arial" w:cs="Arial"/>
          <w:b w:val="0"/>
          <w:bCs w:val="0"/>
          <w:color w:val="0F1115"/>
        </w:rPr>
        <w:t>Que</w:t>
      </w:r>
      <w:r>
        <w:rPr>
          <w:rStyle w:val="Textoennegrita"/>
          <w:rFonts w:ascii="Arial" w:eastAsiaTheme="majorEastAsia" w:hAnsi="Arial" w:cs="Arial"/>
          <w:b w:val="0"/>
          <w:bCs w:val="0"/>
          <w:color w:val="0F1115"/>
        </w:rPr>
        <w:t>,</w:t>
      </w:r>
      <w:r w:rsidRPr="00F31D14">
        <w:rPr>
          <w:rFonts w:ascii="Arial" w:hAnsi="Arial" w:cs="Arial"/>
          <w:color w:val="0F1115"/>
        </w:rPr>
        <w:t> asimismo, resulta de vital importancia contar con información específica sobre el impacto de la normativa en el desarrollo urbano, particularmente en lo que respecta a la construcción de viviendas multifamiliares, a fin de evaluar con una visión integral la situación y las posibles consecuencias de la aplicación del decret</w:t>
      </w:r>
      <w:r w:rsidR="00D85358">
        <w:rPr>
          <w:rFonts w:ascii="Arial" w:hAnsi="Arial" w:cs="Arial"/>
          <w:color w:val="0F1115"/>
        </w:rPr>
        <w:t>o, como también la ausencia de plazo de aplicación del Decreto 762/2025 sin que medie Ordenanza del Honorable Concejo Deliberante para la aplicación.</w:t>
      </w:r>
    </w:p>
    <w:p w14:paraId="29A1B1E1" w14:textId="70126D79" w:rsidR="00D84CE6" w:rsidRDefault="00D84CE6" w:rsidP="00976601">
      <w:pPr>
        <w:pStyle w:val="ds-markdown-paragraph"/>
        <w:shd w:val="clear" w:color="auto" w:fill="FFFFFF"/>
        <w:spacing w:before="240" w:beforeAutospacing="0" w:after="240" w:afterAutospacing="0"/>
        <w:ind w:firstLine="851"/>
        <w:jc w:val="both"/>
        <w:rPr>
          <w:rFonts w:ascii="Arial" w:hAnsi="Arial" w:cs="Arial"/>
          <w:color w:val="0F1115"/>
        </w:rPr>
      </w:pPr>
      <w:r>
        <w:rPr>
          <w:rFonts w:ascii="Arial" w:hAnsi="Arial" w:cs="Arial"/>
          <w:color w:val="0F1115"/>
        </w:rPr>
        <w:t xml:space="preserve">Que, en declaraciones periodísticas el Sr. Intendente Municipal expreso </w:t>
      </w:r>
      <w:proofErr w:type="gramStart"/>
      <w:r>
        <w:rPr>
          <w:rFonts w:ascii="Arial" w:hAnsi="Arial" w:cs="Arial"/>
          <w:color w:val="0F1115"/>
        </w:rPr>
        <w:t xml:space="preserve">“ </w:t>
      </w:r>
      <w:r w:rsidRPr="00496F5B">
        <w:rPr>
          <w:rFonts w:ascii="Arial" w:hAnsi="Arial" w:cs="Arial"/>
          <w:i/>
          <w:iCs/>
          <w:color w:val="0F1115"/>
        </w:rPr>
        <w:t>la</w:t>
      </w:r>
      <w:proofErr w:type="gramEnd"/>
      <w:r w:rsidRPr="00496F5B">
        <w:rPr>
          <w:rFonts w:ascii="Arial" w:hAnsi="Arial" w:cs="Arial"/>
          <w:i/>
          <w:iCs/>
          <w:color w:val="0F1115"/>
        </w:rPr>
        <w:t xml:space="preserve"> red de cloacas como está no tiene la posibilidad de recibir los líquidos que las viviendas multifamiliares generarían…”</w:t>
      </w:r>
      <w:r w:rsidRPr="00496F5B">
        <w:rPr>
          <w:rFonts w:ascii="Arial" w:hAnsi="Arial" w:cs="Arial"/>
          <w:i/>
          <w:iCs/>
          <w:color w:val="0F1115"/>
        </w:rPr>
        <w:t>;</w:t>
      </w:r>
      <w:r>
        <w:rPr>
          <w:rFonts w:ascii="Arial" w:hAnsi="Arial" w:cs="Arial"/>
          <w:color w:val="0F1115"/>
        </w:rPr>
        <w:t xml:space="preserve"> sin </w:t>
      </w:r>
      <w:r w:rsidR="00496F5B">
        <w:rPr>
          <w:rFonts w:ascii="Arial" w:hAnsi="Arial" w:cs="Arial"/>
          <w:color w:val="0F1115"/>
        </w:rPr>
        <w:t>embargo,</w:t>
      </w:r>
      <w:r>
        <w:rPr>
          <w:rFonts w:ascii="Arial" w:hAnsi="Arial" w:cs="Arial"/>
          <w:color w:val="0F1115"/>
        </w:rPr>
        <w:t xml:space="preserve"> esta apreciación no tiene su correlato con los expresado por el Sr. </w:t>
      </w:r>
      <w:proofErr w:type="gramStart"/>
      <w:r>
        <w:rPr>
          <w:rFonts w:ascii="Arial" w:hAnsi="Arial" w:cs="Arial"/>
          <w:color w:val="0F1115"/>
        </w:rPr>
        <w:t>Director General</w:t>
      </w:r>
      <w:proofErr w:type="gramEnd"/>
      <w:r>
        <w:rPr>
          <w:rFonts w:ascii="Arial" w:hAnsi="Arial" w:cs="Arial"/>
          <w:color w:val="0F1115"/>
        </w:rPr>
        <w:t xml:space="preserve"> de Servicios Sanitarios quien al ser consultado en plenario del Honorable Concejo Deliberante</w:t>
      </w:r>
      <w:r w:rsidR="00496F5B">
        <w:rPr>
          <w:rFonts w:ascii="Arial" w:hAnsi="Arial" w:cs="Arial"/>
          <w:color w:val="0F1115"/>
        </w:rPr>
        <w:t xml:space="preserve"> sobre el impacto de las viviendas multifamiliares en la red cloacal indico que desconocían el mismo.</w:t>
      </w:r>
    </w:p>
    <w:p w14:paraId="7CAAB440" w14:textId="635431E9" w:rsidR="00D85358" w:rsidRDefault="00D85358" w:rsidP="00976601">
      <w:pPr>
        <w:pStyle w:val="ds-markdown-paragraph"/>
        <w:shd w:val="clear" w:color="auto" w:fill="FFFFFF"/>
        <w:spacing w:before="240" w:beforeAutospacing="0" w:after="240" w:afterAutospacing="0"/>
        <w:ind w:firstLine="851"/>
        <w:jc w:val="both"/>
        <w:rPr>
          <w:rFonts w:ascii="Arial" w:hAnsi="Arial" w:cs="Arial"/>
          <w:color w:val="0F1115"/>
        </w:rPr>
      </w:pPr>
      <w:r>
        <w:rPr>
          <w:rFonts w:ascii="Arial" w:hAnsi="Arial" w:cs="Arial"/>
          <w:color w:val="0F1115"/>
        </w:rPr>
        <w:t>Que,</w:t>
      </w:r>
      <w:r w:rsidR="00496F5B">
        <w:rPr>
          <w:rFonts w:ascii="Arial" w:hAnsi="Arial" w:cs="Arial"/>
          <w:color w:val="0F1115"/>
        </w:rPr>
        <w:t xml:space="preserve"> asimismo no</w:t>
      </w:r>
      <w:r>
        <w:rPr>
          <w:rFonts w:ascii="Arial" w:hAnsi="Arial" w:cs="Arial"/>
          <w:color w:val="0F1115"/>
        </w:rPr>
        <w:t xml:space="preserve"> puede dejar de soslayarse el </w:t>
      </w:r>
      <w:r w:rsidR="00D84CE6">
        <w:rPr>
          <w:rFonts w:ascii="Arial" w:hAnsi="Arial" w:cs="Arial"/>
          <w:color w:val="0F1115"/>
        </w:rPr>
        <w:t>impacto social y económico de esta medida en nuestra comunidad, particularmente en los trabajadores de la construcción, profesionales, comercios del rubro e inversores inmobiliarios, sumado a la demanda de viviendas, particularmente de alquiler, dado el déficit habitacional de nuestro partido.</w:t>
      </w:r>
    </w:p>
    <w:p w14:paraId="43458331" w14:textId="77777777" w:rsidR="00976601" w:rsidRPr="00976601" w:rsidRDefault="00976601" w:rsidP="00976601">
      <w:pPr>
        <w:ind w:firstLine="851"/>
        <w:jc w:val="both"/>
        <w:rPr>
          <w:rFonts w:ascii="Arial" w:hAnsi="Arial" w:cs="Arial"/>
          <w:i/>
          <w:iCs/>
          <w:sz w:val="24"/>
          <w:szCs w:val="24"/>
          <w:lang w:val="es-AR"/>
        </w:rPr>
      </w:pPr>
      <w:r w:rsidRPr="00976601">
        <w:rPr>
          <w:rFonts w:ascii="Arial" w:hAnsi="Arial" w:cs="Arial"/>
          <w:sz w:val="24"/>
          <w:szCs w:val="24"/>
          <w:lang w:val="es-AR"/>
        </w:rPr>
        <w:t>Que, de acuerdo con Ley Orgánica de las Municipalidades, corresponde que el cuerpo solicite tal medida a través de una Comunicación, en los términos del artículo 77 del citado cuerpo legal;</w:t>
      </w:r>
    </w:p>
    <w:p w14:paraId="5CC6B90E" w14:textId="77777777" w:rsidR="00976601" w:rsidRDefault="00976601" w:rsidP="00976601">
      <w:pPr>
        <w:ind w:firstLine="851"/>
        <w:jc w:val="both"/>
        <w:rPr>
          <w:rFonts w:ascii="Arial" w:hAnsi="Arial" w:cs="Arial"/>
          <w:sz w:val="24"/>
          <w:szCs w:val="24"/>
        </w:rPr>
      </w:pPr>
      <w:r w:rsidRPr="00976601">
        <w:rPr>
          <w:rFonts w:ascii="Arial" w:hAnsi="Arial" w:cs="Arial"/>
          <w:sz w:val="24"/>
          <w:szCs w:val="24"/>
        </w:rPr>
        <w:t xml:space="preserve">Por ello, </w:t>
      </w:r>
      <w:r w:rsidRPr="00976601">
        <w:rPr>
          <w:rFonts w:ascii="Arial" w:hAnsi="Arial" w:cs="Arial"/>
          <w:b/>
          <w:bCs/>
          <w:sz w:val="24"/>
          <w:szCs w:val="24"/>
        </w:rPr>
        <w:t xml:space="preserve">el Bloques UCR-GEN </w:t>
      </w:r>
      <w:r w:rsidRPr="00976601">
        <w:rPr>
          <w:rFonts w:ascii="Arial" w:hAnsi="Arial" w:cs="Arial"/>
          <w:sz w:val="24"/>
          <w:szCs w:val="24"/>
        </w:rPr>
        <w:t>Chascomús en atribución a sus facultades que le confiere la Ley Orgánica de las Municipalidades, propone lo siguiente:</w:t>
      </w:r>
    </w:p>
    <w:p w14:paraId="67171FA2" w14:textId="77777777" w:rsidR="00976601" w:rsidRPr="00976601" w:rsidRDefault="00976601" w:rsidP="00976601">
      <w:pPr>
        <w:ind w:firstLine="851"/>
        <w:jc w:val="both"/>
        <w:rPr>
          <w:rFonts w:ascii="Arial" w:hAnsi="Arial" w:cs="Arial"/>
          <w:sz w:val="24"/>
          <w:szCs w:val="24"/>
        </w:rPr>
      </w:pPr>
    </w:p>
    <w:p w14:paraId="0C8AC90B" w14:textId="07FA6C86" w:rsidR="00976601" w:rsidRPr="00976601" w:rsidRDefault="00976601" w:rsidP="00976601">
      <w:pPr>
        <w:pStyle w:val="ds-markdown-paragraph"/>
        <w:shd w:val="clear" w:color="auto" w:fill="FFFFFF"/>
        <w:spacing w:before="240" w:beforeAutospacing="0" w:after="240" w:afterAutospacing="0"/>
        <w:jc w:val="center"/>
        <w:rPr>
          <w:rFonts w:ascii="Arial" w:hAnsi="Arial" w:cs="Arial"/>
          <w:color w:val="0F1115"/>
        </w:rPr>
      </w:pPr>
      <w:r w:rsidRPr="00976601">
        <w:rPr>
          <w:rStyle w:val="Textoennegrita"/>
          <w:rFonts w:ascii="Arial" w:eastAsiaTheme="majorEastAsia" w:hAnsi="Arial" w:cs="Arial"/>
          <w:color w:val="0F1115"/>
        </w:rPr>
        <w:t>PROYECTO DE COMUNICACIÓN</w:t>
      </w:r>
    </w:p>
    <w:p w14:paraId="434F751A" w14:textId="44B85E9C" w:rsidR="00976601" w:rsidRPr="00F31D14" w:rsidRDefault="00976601" w:rsidP="00976601">
      <w:pPr>
        <w:pStyle w:val="ds-markdown-paragraph"/>
        <w:shd w:val="clear" w:color="auto" w:fill="FFFFFF"/>
        <w:spacing w:before="240" w:beforeAutospacing="0" w:after="240" w:afterAutospacing="0"/>
        <w:jc w:val="both"/>
        <w:rPr>
          <w:rFonts w:ascii="Arial" w:hAnsi="Arial" w:cs="Arial"/>
          <w:color w:val="0F1115"/>
        </w:rPr>
      </w:pPr>
      <w:r w:rsidRPr="00F31D14">
        <w:rPr>
          <w:rStyle w:val="Textoennegrita"/>
          <w:rFonts w:ascii="Arial" w:eastAsiaTheme="majorEastAsia" w:hAnsi="Arial" w:cs="Arial"/>
          <w:b w:val="0"/>
          <w:bCs w:val="0"/>
          <w:color w:val="0F1115"/>
        </w:rPr>
        <w:t>Artículo 1º:</w:t>
      </w:r>
      <w:r w:rsidRPr="00F31D14">
        <w:rPr>
          <w:rFonts w:ascii="Arial" w:hAnsi="Arial" w:cs="Arial"/>
          <w:color w:val="0F1115"/>
        </w:rPr>
        <w:t xml:space="preserve"> Póngase en conocimiento del Departamento Ejecutivo las observaciones técnicas, jurídicas y procedimentales detalladas en los considerandos precedentes, a fin de que se proceda </w:t>
      </w:r>
      <w:r w:rsidR="00FF3A54">
        <w:rPr>
          <w:rFonts w:ascii="Arial" w:hAnsi="Arial" w:cs="Arial"/>
          <w:color w:val="0F1115"/>
        </w:rPr>
        <w:t>a la</w:t>
      </w:r>
      <w:r w:rsidRPr="00F31D14">
        <w:rPr>
          <w:rFonts w:ascii="Arial" w:hAnsi="Arial" w:cs="Arial"/>
          <w:color w:val="0F1115"/>
        </w:rPr>
        <w:t xml:space="preserve"> revisión integral del Decreto 762/2025</w:t>
      </w:r>
      <w:r w:rsidR="00FF3A54">
        <w:rPr>
          <w:rFonts w:ascii="Arial" w:hAnsi="Arial" w:cs="Arial"/>
          <w:color w:val="0F1115"/>
        </w:rPr>
        <w:t xml:space="preserve"> o su derogación.</w:t>
      </w:r>
      <w:r w:rsidRPr="00F31D14">
        <w:rPr>
          <w:rFonts w:ascii="Arial" w:hAnsi="Arial" w:cs="Arial"/>
          <w:color w:val="0F1115"/>
        </w:rPr>
        <w:t xml:space="preserve"> </w:t>
      </w:r>
    </w:p>
    <w:p w14:paraId="5A4C3292" w14:textId="7113F0F7" w:rsidR="00976601" w:rsidRPr="00F31D14" w:rsidRDefault="00976601" w:rsidP="00976601">
      <w:pPr>
        <w:pStyle w:val="ds-markdown-paragraph"/>
        <w:shd w:val="clear" w:color="auto" w:fill="FFFFFF"/>
        <w:spacing w:before="240" w:beforeAutospacing="0" w:after="240" w:afterAutospacing="0"/>
        <w:jc w:val="both"/>
        <w:rPr>
          <w:rFonts w:ascii="Arial" w:hAnsi="Arial" w:cs="Arial"/>
          <w:color w:val="0F1115"/>
        </w:rPr>
      </w:pPr>
      <w:r w:rsidRPr="00F31D14">
        <w:rPr>
          <w:rStyle w:val="Textoennegrita"/>
          <w:rFonts w:ascii="Arial" w:eastAsiaTheme="majorEastAsia" w:hAnsi="Arial" w:cs="Arial"/>
          <w:b w:val="0"/>
          <w:bCs w:val="0"/>
          <w:color w:val="0F1115"/>
        </w:rPr>
        <w:t>Artículo 2º:</w:t>
      </w:r>
      <w:r w:rsidRPr="00F31D14">
        <w:rPr>
          <w:rFonts w:ascii="Arial" w:hAnsi="Arial" w:cs="Arial"/>
          <w:color w:val="0F1115"/>
        </w:rPr>
        <w:t> Solicítese al Departamento Ejecutivo que, en el marco de la revisión sugerida, remita a este H</w:t>
      </w:r>
      <w:r>
        <w:rPr>
          <w:rFonts w:ascii="Arial" w:hAnsi="Arial" w:cs="Arial"/>
          <w:color w:val="0F1115"/>
        </w:rPr>
        <w:t xml:space="preserve">onorable Concejo Deliberante </w:t>
      </w:r>
      <w:r w:rsidRPr="00F31D14">
        <w:rPr>
          <w:rFonts w:ascii="Arial" w:hAnsi="Arial" w:cs="Arial"/>
          <w:color w:val="0F1115"/>
        </w:rPr>
        <w:t>un informe detallado, desagregado por año para el período 2015</w:t>
      </w:r>
      <w:r>
        <w:rPr>
          <w:rFonts w:ascii="Arial" w:hAnsi="Arial" w:cs="Arial"/>
          <w:color w:val="0F1115"/>
        </w:rPr>
        <w:t xml:space="preserve"> </w:t>
      </w:r>
      <w:r w:rsidRPr="00F31D14">
        <w:rPr>
          <w:rFonts w:ascii="Arial" w:hAnsi="Arial" w:cs="Arial"/>
          <w:color w:val="0F1115"/>
        </w:rPr>
        <w:t>a la fecha, que contenga la siguiente información</w:t>
      </w:r>
      <w:r w:rsidR="00FF3A54">
        <w:rPr>
          <w:rFonts w:ascii="Arial" w:hAnsi="Arial" w:cs="Arial"/>
          <w:color w:val="0F1115"/>
        </w:rPr>
        <w:t>:</w:t>
      </w:r>
    </w:p>
    <w:p w14:paraId="383CF9DC" w14:textId="62A881B6" w:rsidR="00976601" w:rsidRPr="00F31D14" w:rsidRDefault="00976601" w:rsidP="00976601">
      <w:pPr>
        <w:pStyle w:val="ds-markdown-paragraph"/>
        <w:shd w:val="clear" w:color="auto" w:fill="FFFFFF"/>
        <w:spacing w:before="240" w:beforeAutospacing="0" w:after="240" w:afterAutospacing="0"/>
        <w:jc w:val="both"/>
        <w:rPr>
          <w:rFonts w:ascii="Arial" w:hAnsi="Arial" w:cs="Arial"/>
          <w:color w:val="0F1115"/>
        </w:rPr>
      </w:pPr>
      <w:r w:rsidRPr="00F31D14">
        <w:rPr>
          <w:rFonts w:ascii="Arial" w:hAnsi="Arial" w:cs="Arial"/>
          <w:color w:val="0F1115"/>
        </w:rPr>
        <w:t>a) Los estudios técnicos, en relación con el sistema cloacal, que determinaron la decisión de no aprobar proyectos de viviendas multifamiliares, si los hubiere.</w:t>
      </w:r>
      <w:r w:rsidRPr="00F31D14">
        <w:rPr>
          <w:rFonts w:ascii="Arial" w:hAnsi="Arial" w:cs="Arial"/>
          <w:color w:val="0F1115"/>
        </w:rPr>
        <w:br/>
        <w:t>b) El promedio anual de construcción de viviendas multifamiliares y unifamiliares.</w:t>
      </w:r>
      <w:r w:rsidRPr="00F31D14">
        <w:rPr>
          <w:rFonts w:ascii="Arial" w:hAnsi="Arial" w:cs="Arial"/>
          <w:color w:val="0F1115"/>
        </w:rPr>
        <w:br/>
        <w:t>c) El promedio de unidades de vivienda dentro de los proyectos multifamiliares aprobados.</w:t>
      </w:r>
      <w:r w:rsidRPr="00F31D14">
        <w:rPr>
          <w:rFonts w:ascii="Arial" w:hAnsi="Arial" w:cs="Arial"/>
          <w:color w:val="0F1115"/>
        </w:rPr>
        <w:br/>
        <w:t>d) La cantidad total de unidades de vivienda multifamiliar que han sido aprobadas mediante expedientes de proyecto, dirección y construcción.</w:t>
      </w:r>
      <w:r w:rsidRPr="00F31D14">
        <w:rPr>
          <w:rFonts w:ascii="Arial" w:hAnsi="Arial" w:cs="Arial"/>
          <w:color w:val="0F1115"/>
        </w:rPr>
        <w:br/>
        <w:t>e) La cantidad total de unidades de vivienda multifamiliar que han sido registradas</w:t>
      </w:r>
      <w:r>
        <w:rPr>
          <w:rFonts w:ascii="Arial" w:hAnsi="Arial" w:cs="Arial"/>
          <w:color w:val="0F1115"/>
        </w:rPr>
        <w:t xml:space="preserve"> mediante </w:t>
      </w:r>
      <w:r w:rsidRPr="00F31D14">
        <w:rPr>
          <w:rFonts w:ascii="Arial" w:hAnsi="Arial" w:cs="Arial"/>
          <w:color w:val="0F1115"/>
        </w:rPr>
        <w:t xml:space="preserve"> empadronamiento.</w:t>
      </w:r>
      <w:r w:rsidRPr="00F31D14">
        <w:rPr>
          <w:rFonts w:ascii="Arial" w:hAnsi="Arial" w:cs="Arial"/>
          <w:color w:val="0F1115"/>
        </w:rPr>
        <w:br/>
        <w:t>f) La cantidad total de unidades de vivienda unifamiliar que han sido aprobadas mediante expedientes de proyecto, dirección y construcción.</w:t>
      </w:r>
      <w:r w:rsidRPr="00F31D14">
        <w:rPr>
          <w:rFonts w:ascii="Arial" w:hAnsi="Arial" w:cs="Arial"/>
          <w:color w:val="0F1115"/>
        </w:rPr>
        <w:br/>
        <w:t>g) La cantidad total de unidades de vivienda unifamiliar que han sido registradas mediante empadronamiento.</w:t>
      </w:r>
    </w:p>
    <w:p w14:paraId="164A3934" w14:textId="77777777" w:rsidR="00976601" w:rsidRPr="00F31D14" w:rsidRDefault="00976601" w:rsidP="00976601">
      <w:pPr>
        <w:pStyle w:val="ds-markdown-paragraph"/>
        <w:shd w:val="clear" w:color="auto" w:fill="FFFFFF"/>
        <w:spacing w:before="240" w:beforeAutospacing="0" w:after="240" w:afterAutospacing="0"/>
        <w:jc w:val="both"/>
        <w:rPr>
          <w:rFonts w:ascii="Arial" w:hAnsi="Arial" w:cs="Arial"/>
          <w:color w:val="0F1115"/>
        </w:rPr>
      </w:pPr>
      <w:r w:rsidRPr="00F31D14">
        <w:rPr>
          <w:rStyle w:val="Textoennegrita"/>
          <w:rFonts w:ascii="Arial" w:eastAsiaTheme="majorEastAsia" w:hAnsi="Arial" w:cs="Arial"/>
          <w:b w:val="0"/>
          <w:bCs w:val="0"/>
          <w:color w:val="0F1115"/>
        </w:rPr>
        <w:t>Artículo 3º:</w:t>
      </w:r>
      <w:r w:rsidRPr="00F31D14">
        <w:rPr>
          <w:rFonts w:ascii="Arial" w:hAnsi="Arial" w:cs="Arial"/>
          <w:color w:val="0F1115"/>
        </w:rPr>
        <w:t> De forma.</w:t>
      </w:r>
    </w:p>
    <w:p w14:paraId="38812FEC" w14:textId="77777777" w:rsidR="00976601" w:rsidRDefault="00976601" w:rsidP="00976601"/>
    <w:p w14:paraId="19E4D757" w14:textId="77777777" w:rsidR="00CB0CCA" w:rsidRPr="00CB0CCA" w:rsidRDefault="00CB0CCA" w:rsidP="0055371B">
      <w:pPr>
        <w:spacing w:line="240" w:lineRule="atLeast"/>
        <w:jc w:val="both"/>
        <w:rPr>
          <w:rFonts w:ascii="Arial" w:hAnsi="Arial" w:cs="Arial"/>
          <w:sz w:val="24"/>
          <w:szCs w:val="24"/>
        </w:rPr>
      </w:pPr>
    </w:p>
    <w:sectPr w:rsidR="00CB0CCA" w:rsidRPr="00CB0CCA">
      <w:headerReference w:type="default" r:id="rId6"/>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16F3A0" w14:textId="77777777" w:rsidR="00E82CC4" w:rsidRDefault="00E82CC4" w:rsidP="00976601">
      <w:pPr>
        <w:spacing w:after="0" w:line="240" w:lineRule="auto"/>
      </w:pPr>
      <w:r>
        <w:separator/>
      </w:r>
    </w:p>
  </w:endnote>
  <w:endnote w:type="continuationSeparator" w:id="0">
    <w:p w14:paraId="6F53A9CD" w14:textId="77777777" w:rsidR="00E82CC4" w:rsidRDefault="00E82CC4" w:rsidP="009766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E8805" w14:textId="77777777" w:rsidR="00E82CC4" w:rsidRDefault="00E82CC4" w:rsidP="00976601">
      <w:pPr>
        <w:spacing w:after="0" w:line="240" w:lineRule="auto"/>
      </w:pPr>
      <w:r>
        <w:separator/>
      </w:r>
    </w:p>
  </w:footnote>
  <w:footnote w:type="continuationSeparator" w:id="0">
    <w:p w14:paraId="0F713A7C" w14:textId="77777777" w:rsidR="00E82CC4" w:rsidRDefault="00E82CC4" w:rsidP="009766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43C0A1" w14:textId="77777777" w:rsidR="00976601" w:rsidRDefault="00976601" w:rsidP="00976601">
    <w:pPr>
      <w:jc w:val="center"/>
      <w:rPr>
        <w:color w:val="000000"/>
      </w:rPr>
    </w:pPr>
    <w:r>
      <w:rPr>
        <w:noProof/>
        <w:color w:val="000000"/>
        <w:lang w:val="en-US"/>
      </w:rPr>
      <w:drawing>
        <wp:inline distT="0" distB="0" distL="0" distR="0" wp14:anchorId="55DAAD34" wp14:editId="41339A81">
          <wp:extent cx="693420" cy="602615"/>
          <wp:effectExtent l="19050" t="0" r="0" b="0"/>
          <wp:docPr id="2" name="Imagen 1" descr="Escudo Chascomú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Chascomús"/>
                  <pic:cNvPicPr>
                    <a:picLocks noChangeAspect="1" noChangeArrowheads="1"/>
                  </pic:cNvPicPr>
                </pic:nvPicPr>
                <pic:blipFill>
                  <a:blip r:embed="rId1"/>
                  <a:srcRect/>
                  <a:stretch>
                    <a:fillRect/>
                  </a:stretch>
                </pic:blipFill>
                <pic:spPr bwMode="auto">
                  <a:xfrm>
                    <a:off x="0" y="0"/>
                    <a:ext cx="693420" cy="602615"/>
                  </a:xfrm>
                  <a:prstGeom prst="rect">
                    <a:avLst/>
                  </a:prstGeom>
                  <a:noFill/>
                  <a:ln w="9525">
                    <a:noFill/>
                    <a:miter lim="800000"/>
                    <a:headEnd/>
                    <a:tailEnd/>
                  </a:ln>
                </pic:spPr>
              </pic:pic>
            </a:graphicData>
          </a:graphic>
        </wp:inline>
      </w:drawing>
    </w:r>
  </w:p>
  <w:p w14:paraId="1C4195C4" w14:textId="77777777" w:rsidR="00976601" w:rsidRDefault="00976601" w:rsidP="00976601">
    <w:pPr>
      <w:keepNext/>
      <w:jc w:val="center"/>
      <w:outlineLvl w:val="0"/>
      <w:rPr>
        <w:rFonts w:ascii="Garamond" w:hAnsi="Garamond" w:cs="Arial"/>
        <w:b/>
        <w:bCs/>
        <w:color w:val="000000"/>
      </w:rPr>
    </w:pPr>
    <w:r>
      <w:rPr>
        <w:rFonts w:ascii="Garamond" w:hAnsi="Garamond" w:cs="Arial"/>
        <w:b/>
        <w:bCs/>
        <w:color w:val="000000"/>
      </w:rPr>
      <w:t>Honorable Concejo Deliberante</w:t>
    </w:r>
  </w:p>
  <w:p w14:paraId="1B1B394D" w14:textId="77777777" w:rsidR="00976601" w:rsidRDefault="00976601" w:rsidP="00976601">
    <w:pPr>
      <w:keepNext/>
      <w:jc w:val="center"/>
      <w:outlineLvl w:val="1"/>
      <w:rPr>
        <w:rFonts w:ascii="Garamond" w:hAnsi="Garamond" w:cs="Arial"/>
        <w:b/>
        <w:bCs/>
        <w:color w:val="000000"/>
      </w:rPr>
    </w:pPr>
    <w:r>
      <w:rPr>
        <w:rFonts w:ascii="Garamond" w:hAnsi="Garamond" w:cs="Arial"/>
        <w:b/>
        <w:bCs/>
        <w:color w:val="000000"/>
      </w:rPr>
      <w:t>Mitre 38    -    Chascomús</w:t>
    </w:r>
  </w:p>
  <w:p w14:paraId="7E72022E" w14:textId="77777777" w:rsidR="00976601" w:rsidRDefault="00976601" w:rsidP="00976601">
    <w:pPr>
      <w:jc w:val="center"/>
      <w:rPr>
        <w:rFonts w:ascii="Arial Black" w:hAnsi="Arial Black"/>
      </w:rPr>
    </w:pPr>
    <w:r>
      <w:rPr>
        <w:rFonts w:ascii="Arial Black" w:hAnsi="Arial Black"/>
      </w:rPr>
      <w:t xml:space="preserve">BLOQUES UCR - GEN </w:t>
    </w:r>
  </w:p>
  <w:p w14:paraId="76CA9C4A" w14:textId="77777777" w:rsidR="00976601" w:rsidRDefault="00976601" w:rsidP="00976601">
    <w:pPr>
      <w:pStyle w:val="Encabezado"/>
      <w:tabs>
        <w:tab w:val="clear" w:pos="4252"/>
        <w:tab w:val="clear" w:pos="8504"/>
        <w:tab w:val="left" w:pos="1815"/>
      </w:tabs>
      <w:jc w:val="center"/>
    </w:pPr>
    <w:r>
      <w:rPr>
        <w:b/>
        <w:bCs/>
      </w:rPr>
      <w:t>“2025 Año del 40° Aniversario del juicio a las Juntas Militares, hito de nuestra Democracia</w:t>
    </w:r>
  </w:p>
  <w:p w14:paraId="05ABFEAF" w14:textId="77777777" w:rsidR="00976601" w:rsidRDefault="00976601">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371B"/>
    <w:rsid w:val="000070D2"/>
    <w:rsid w:val="00021721"/>
    <w:rsid w:val="00076CEC"/>
    <w:rsid w:val="00335141"/>
    <w:rsid w:val="00423B45"/>
    <w:rsid w:val="0043043E"/>
    <w:rsid w:val="00496F5B"/>
    <w:rsid w:val="00497B94"/>
    <w:rsid w:val="004C0C9B"/>
    <w:rsid w:val="004C2ED3"/>
    <w:rsid w:val="004D02BB"/>
    <w:rsid w:val="004F4AF6"/>
    <w:rsid w:val="0055371B"/>
    <w:rsid w:val="00703C6A"/>
    <w:rsid w:val="00840036"/>
    <w:rsid w:val="00976601"/>
    <w:rsid w:val="00A82892"/>
    <w:rsid w:val="00B44968"/>
    <w:rsid w:val="00B844F9"/>
    <w:rsid w:val="00CB0CCA"/>
    <w:rsid w:val="00D069F5"/>
    <w:rsid w:val="00D84CE6"/>
    <w:rsid w:val="00D85358"/>
    <w:rsid w:val="00E82CC4"/>
    <w:rsid w:val="00F36833"/>
    <w:rsid w:val="00FF3A54"/>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6FEC63"/>
  <w15:chartTrackingRefBased/>
  <w15:docId w15:val="{D1FE2AAC-9AB7-4E7F-8AFF-A7F340AEB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601"/>
  </w:style>
  <w:style w:type="paragraph" w:styleId="Ttulo1">
    <w:name w:val="heading 1"/>
    <w:basedOn w:val="Normal"/>
    <w:next w:val="Normal"/>
    <w:link w:val="Ttulo1Car"/>
    <w:uiPriority w:val="9"/>
    <w:qFormat/>
    <w:rsid w:val="0055371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5371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5371B"/>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5371B"/>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55371B"/>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55371B"/>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55371B"/>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55371B"/>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55371B"/>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5371B"/>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5371B"/>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5371B"/>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5371B"/>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55371B"/>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55371B"/>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55371B"/>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55371B"/>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55371B"/>
    <w:rPr>
      <w:rFonts w:eastAsiaTheme="majorEastAsia" w:cstheme="majorBidi"/>
      <w:color w:val="272727" w:themeColor="text1" w:themeTint="D8"/>
    </w:rPr>
  </w:style>
  <w:style w:type="paragraph" w:styleId="Ttulo">
    <w:name w:val="Title"/>
    <w:basedOn w:val="Normal"/>
    <w:next w:val="Normal"/>
    <w:link w:val="TtuloCar"/>
    <w:uiPriority w:val="10"/>
    <w:qFormat/>
    <w:rsid w:val="0055371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5371B"/>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55371B"/>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5371B"/>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55371B"/>
    <w:pPr>
      <w:spacing w:before="160"/>
      <w:jc w:val="center"/>
    </w:pPr>
    <w:rPr>
      <w:i/>
      <w:iCs/>
      <w:color w:val="404040" w:themeColor="text1" w:themeTint="BF"/>
    </w:rPr>
  </w:style>
  <w:style w:type="character" w:customStyle="1" w:styleId="CitaCar">
    <w:name w:val="Cita Car"/>
    <w:basedOn w:val="Fuentedeprrafopredeter"/>
    <w:link w:val="Cita"/>
    <w:uiPriority w:val="29"/>
    <w:rsid w:val="0055371B"/>
    <w:rPr>
      <w:i/>
      <w:iCs/>
      <w:color w:val="404040" w:themeColor="text1" w:themeTint="BF"/>
    </w:rPr>
  </w:style>
  <w:style w:type="paragraph" w:styleId="Prrafodelista">
    <w:name w:val="List Paragraph"/>
    <w:basedOn w:val="Normal"/>
    <w:uiPriority w:val="34"/>
    <w:qFormat/>
    <w:rsid w:val="0055371B"/>
    <w:pPr>
      <w:ind w:left="720"/>
      <w:contextualSpacing/>
    </w:pPr>
  </w:style>
  <w:style w:type="character" w:styleId="nfasisintenso">
    <w:name w:val="Intense Emphasis"/>
    <w:basedOn w:val="Fuentedeprrafopredeter"/>
    <w:uiPriority w:val="21"/>
    <w:qFormat/>
    <w:rsid w:val="0055371B"/>
    <w:rPr>
      <w:i/>
      <w:iCs/>
      <w:color w:val="0F4761" w:themeColor="accent1" w:themeShade="BF"/>
    </w:rPr>
  </w:style>
  <w:style w:type="paragraph" w:styleId="Citadestacada">
    <w:name w:val="Intense Quote"/>
    <w:basedOn w:val="Normal"/>
    <w:next w:val="Normal"/>
    <w:link w:val="CitadestacadaCar"/>
    <w:uiPriority w:val="30"/>
    <w:qFormat/>
    <w:rsid w:val="0055371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5371B"/>
    <w:rPr>
      <w:i/>
      <w:iCs/>
      <w:color w:val="0F4761" w:themeColor="accent1" w:themeShade="BF"/>
    </w:rPr>
  </w:style>
  <w:style w:type="character" w:styleId="Referenciaintensa">
    <w:name w:val="Intense Reference"/>
    <w:basedOn w:val="Fuentedeprrafopredeter"/>
    <w:uiPriority w:val="32"/>
    <w:qFormat/>
    <w:rsid w:val="0055371B"/>
    <w:rPr>
      <w:b/>
      <w:bCs/>
      <w:smallCaps/>
      <w:color w:val="0F4761" w:themeColor="accent1" w:themeShade="BF"/>
      <w:spacing w:val="5"/>
    </w:rPr>
  </w:style>
  <w:style w:type="paragraph" w:customStyle="1" w:styleId="ds-markdown-paragraph">
    <w:name w:val="ds-markdown-paragraph"/>
    <w:basedOn w:val="Normal"/>
    <w:rsid w:val="00976601"/>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Textoennegrita">
    <w:name w:val="Strong"/>
    <w:basedOn w:val="Fuentedeprrafopredeter"/>
    <w:uiPriority w:val="22"/>
    <w:qFormat/>
    <w:rsid w:val="00976601"/>
    <w:rPr>
      <w:b/>
      <w:bCs/>
    </w:rPr>
  </w:style>
  <w:style w:type="paragraph" w:styleId="Encabezado">
    <w:name w:val="header"/>
    <w:basedOn w:val="Normal"/>
    <w:link w:val="EncabezadoCar"/>
    <w:uiPriority w:val="99"/>
    <w:unhideWhenUsed/>
    <w:rsid w:val="00976601"/>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76601"/>
  </w:style>
  <w:style w:type="paragraph" w:styleId="Piedepgina">
    <w:name w:val="footer"/>
    <w:basedOn w:val="Normal"/>
    <w:link w:val="PiedepginaCar"/>
    <w:uiPriority w:val="99"/>
    <w:unhideWhenUsed/>
    <w:rsid w:val="00976601"/>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766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1340</TotalTime>
  <Pages>5</Pages>
  <Words>1398</Words>
  <Characters>7689</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Eduardo Di Benedetto</dc:creator>
  <cp:keywords/>
  <dc:description/>
  <cp:lastModifiedBy>Eduardo Di Benedetto</cp:lastModifiedBy>
  <cp:revision>11</cp:revision>
  <cp:lastPrinted>2025-10-21T14:00:00Z</cp:lastPrinted>
  <dcterms:created xsi:type="dcterms:W3CDTF">2025-10-20T13:48:00Z</dcterms:created>
  <dcterms:modified xsi:type="dcterms:W3CDTF">2025-10-21T14:58:00Z</dcterms:modified>
</cp:coreProperties>
</file>